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955" w:rsidRDefault="00177955">
      <w:r>
        <w:t xml:space="preserve">               mgr inż. Fryderyk Łasak</w:t>
      </w:r>
      <w:r>
        <w:br/>
        <w:t>31-621 Kraków, oś. Bohaterów Września 61A/23</w:t>
      </w:r>
      <w:r>
        <w:br/>
        <w:t xml:space="preserve"> tel 12-6811541</w:t>
      </w:r>
      <w:r>
        <w:tab/>
        <w:t>kom 503 750306</w:t>
      </w:r>
      <w:r>
        <w:br/>
        <w:t xml:space="preserve">  </w:t>
      </w:r>
      <w:r>
        <w:tab/>
        <w:t>e-mail: flasak@tlen.pl</w:t>
      </w:r>
    </w:p>
    <w:p w:rsidR="00177955" w:rsidRDefault="00177955">
      <w:pPr>
        <w:rPr>
          <w:b/>
          <w:bCs/>
        </w:rPr>
      </w:pPr>
    </w:p>
    <w:p w:rsidR="00177955" w:rsidRDefault="00177955">
      <w:pPr>
        <w:jc w:val="center"/>
        <w:rPr>
          <w:b/>
          <w:bCs/>
          <w:sz w:val="32"/>
          <w:szCs w:val="32"/>
        </w:rPr>
      </w:pPr>
      <w:r>
        <w:rPr>
          <w:b/>
          <w:bCs/>
          <w:sz w:val="32"/>
          <w:szCs w:val="32"/>
        </w:rPr>
        <w:t>Wymagane parametry instalacji i sprawdzanie tych parametrów</w:t>
      </w:r>
    </w:p>
    <w:p w:rsidR="00177955" w:rsidRDefault="00177955">
      <w:pPr>
        <w:pStyle w:val="NormalIndent"/>
        <w:numPr>
          <w:ilvl w:val="0"/>
          <w:numId w:val="2"/>
        </w:numPr>
        <w:spacing w:after="60"/>
        <w:jc w:val="left"/>
        <w:rPr>
          <w:b/>
          <w:bCs/>
          <w:sz w:val="24"/>
          <w:szCs w:val="24"/>
        </w:rPr>
      </w:pPr>
      <w:r>
        <w:rPr>
          <w:b/>
          <w:bCs/>
          <w:sz w:val="24"/>
          <w:szCs w:val="24"/>
        </w:rPr>
        <w:t>Wstęp</w:t>
      </w:r>
    </w:p>
    <w:p w:rsidR="00177955" w:rsidRDefault="00177955">
      <w:pPr>
        <w:pStyle w:val="NormalIndent"/>
        <w:jc w:val="left"/>
        <w:rPr>
          <w:sz w:val="24"/>
          <w:szCs w:val="24"/>
        </w:rPr>
      </w:pPr>
      <w:r>
        <w:rPr>
          <w:sz w:val="24"/>
          <w:szCs w:val="24"/>
        </w:rPr>
        <w:t>Instalacja elektryczna to – zestaw połączonych ze sobą i zharmonizowanych w działaniu urządzeń i aparatów, umożliwiających funkcjonowanie maszyn, urządzeń, systemów i układów zasilanych elektrycznie.</w:t>
      </w:r>
    </w:p>
    <w:p w:rsidR="00177955" w:rsidRDefault="00177955">
      <w:pPr>
        <w:pStyle w:val="NormalIndent"/>
        <w:jc w:val="left"/>
        <w:rPr>
          <w:sz w:val="24"/>
          <w:szCs w:val="24"/>
        </w:rPr>
      </w:pPr>
      <w:r>
        <w:rPr>
          <w:sz w:val="24"/>
          <w:szCs w:val="24"/>
        </w:rPr>
        <w:t xml:space="preserve"> Podział instalacji - rozróżniamy następujące rodzaje instalacji:</w:t>
      </w:r>
    </w:p>
    <w:p w:rsidR="00177955" w:rsidRDefault="00177955">
      <w:pPr>
        <w:pStyle w:val="NormalIndent"/>
        <w:jc w:val="left"/>
        <w:rPr>
          <w:sz w:val="24"/>
          <w:szCs w:val="24"/>
        </w:rPr>
      </w:pPr>
      <w:r>
        <w:rPr>
          <w:sz w:val="24"/>
          <w:szCs w:val="24"/>
        </w:rPr>
        <w:t xml:space="preserve"> Instalacje elektroenergetyczne niskiego i wysokiego napięcia,</w:t>
      </w:r>
    </w:p>
    <w:p w:rsidR="00177955" w:rsidRDefault="00177955">
      <w:pPr>
        <w:pStyle w:val="NormalIndent"/>
        <w:jc w:val="left"/>
        <w:rPr>
          <w:sz w:val="24"/>
          <w:szCs w:val="24"/>
        </w:rPr>
      </w:pPr>
      <w:r>
        <w:rPr>
          <w:sz w:val="24"/>
          <w:szCs w:val="24"/>
        </w:rPr>
        <w:t xml:space="preserve"> Instalacje i urządzenia teletechniczne,</w:t>
      </w:r>
    </w:p>
    <w:p w:rsidR="00177955" w:rsidRDefault="00177955">
      <w:pPr>
        <w:pStyle w:val="NormalIndent"/>
        <w:jc w:val="left"/>
        <w:rPr>
          <w:sz w:val="24"/>
          <w:szCs w:val="24"/>
        </w:rPr>
      </w:pPr>
      <w:r>
        <w:rPr>
          <w:sz w:val="24"/>
          <w:szCs w:val="24"/>
        </w:rPr>
        <w:t xml:space="preserve"> Instalacje i urządzenia sygnalizacji, sterowania, pomiarów i monitorowania,</w:t>
      </w:r>
    </w:p>
    <w:p w:rsidR="00177955" w:rsidRDefault="00177955">
      <w:pPr>
        <w:pStyle w:val="NormalIndent"/>
        <w:jc w:val="left"/>
        <w:rPr>
          <w:sz w:val="24"/>
          <w:szCs w:val="24"/>
        </w:rPr>
      </w:pPr>
      <w:r>
        <w:rPr>
          <w:sz w:val="24"/>
          <w:szCs w:val="24"/>
        </w:rPr>
        <w:t xml:space="preserve"> Instalacje telefoniczne i komputerowe,</w:t>
      </w:r>
    </w:p>
    <w:p w:rsidR="00177955" w:rsidRDefault="00177955">
      <w:pPr>
        <w:pStyle w:val="NormalIndent"/>
        <w:jc w:val="left"/>
        <w:rPr>
          <w:sz w:val="24"/>
          <w:szCs w:val="24"/>
        </w:rPr>
      </w:pPr>
      <w:r>
        <w:rPr>
          <w:sz w:val="24"/>
          <w:szCs w:val="24"/>
        </w:rPr>
        <w:t xml:space="preserve"> Instalacje elektroniczne alarmowe, przeciwpożarowe i ochrony mienia,</w:t>
      </w:r>
    </w:p>
    <w:p w:rsidR="00177955" w:rsidRDefault="00177955">
      <w:pPr>
        <w:pStyle w:val="NormalIndent"/>
        <w:jc w:val="left"/>
        <w:rPr>
          <w:sz w:val="24"/>
          <w:szCs w:val="24"/>
        </w:rPr>
      </w:pPr>
      <w:r>
        <w:rPr>
          <w:sz w:val="24"/>
          <w:szCs w:val="24"/>
        </w:rPr>
        <w:t xml:space="preserve"> Instalacje uziemiające i przeciwprzepięciowe,</w:t>
      </w:r>
    </w:p>
    <w:p w:rsidR="00177955" w:rsidRDefault="00177955">
      <w:pPr>
        <w:pStyle w:val="NormalIndent"/>
        <w:jc w:val="left"/>
        <w:rPr>
          <w:b/>
          <w:bCs/>
          <w:sz w:val="24"/>
          <w:szCs w:val="24"/>
        </w:rPr>
      </w:pPr>
      <w:r>
        <w:rPr>
          <w:sz w:val="24"/>
          <w:szCs w:val="24"/>
        </w:rPr>
        <w:t xml:space="preserve"> Instalacje wewnętrznej i zewnętrznej ochrony odgromowej</w:t>
      </w:r>
    </w:p>
    <w:p w:rsidR="00177955" w:rsidRDefault="00177955">
      <w:pPr>
        <w:pStyle w:val="NormalIndent"/>
        <w:jc w:val="left"/>
        <w:rPr>
          <w:sz w:val="24"/>
          <w:szCs w:val="24"/>
        </w:rPr>
      </w:pPr>
      <w:r>
        <w:rPr>
          <w:sz w:val="24"/>
          <w:szCs w:val="24"/>
        </w:rPr>
        <w:t>Każda instalacja elektryczna w budynku powinna spełniać wymagane dla niej parametry, którymi są:</w:t>
      </w:r>
    </w:p>
    <w:p w:rsidR="00177955" w:rsidRDefault="00177955">
      <w:pPr>
        <w:pStyle w:val="NormalIndent"/>
        <w:numPr>
          <w:ilvl w:val="0"/>
          <w:numId w:val="3"/>
        </w:numPr>
        <w:jc w:val="left"/>
        <w:rPr>
          <w:sz w:val="24"/>
          <w:szCs w:val="24"/>
        </w:rPr>
      </w:pPr>
      <w:r>
        <w:rPr>
          <w:sz w:val="24"/>
          <w:szCs w:val="24"/>
        </w:rPr>
        <w:t>dopuszczalne spadki napięcia w przewodach zasilających,</w:t>
      </w:r>
    </w:p>
    <w:p w:rsidR="00177955" w:rsidRDefault="00177955">
      <w:pPr>
        <w:pStyle w:val="NormalIndent"/>
        <w:numPr>
          <w:ilvl w:val="0"/>
          <w:numId w:val="3"/>
        </w:numPr>
        <w:jc w:val="left"/>
        <w:rPr>
          <w:sz w:val="24"/>
          <w:szCs w:val="24"/>
        </w:rPr>
      </w:pPr>
      <w:r>
        <w:rPr>
          <w:sz w:val="24"/>
          <w:szCs w:val="24"/>
        </w:rPr>
        <w:t>zabezpieczenie przewodów instalacyjnych przed skutkami przeciążeń,</w:t>
      </w:r>
    </w:p>
    <w:p w:rsidR="00177955" w:rsidRDefault="00177955">
      <w:pPr>
        <w:pStyle w:val="NormalIndent"/>
        <w:numPr>
          <w:ilvl w:val="0"/>
          <w:numId w:val="3"/>
        </w:numPr>
        <w:jc w:val="left"/>
        <w:rPr>
          <w:sz w:val="24"/>
          <w:szCs w:val="24"/>
        </w:rPr>
      </w:pPr>
      <w:r>
        <w:rPr>
          <w:sz w:val="24"/>
          <w:szCs w:val="24"/>
        </w:rPr>
        <w:t>. zabezpieczenie instalacji przed skutkami zwarć,</w:t>
      </w:r>
    </w:p>
    <w:p w:rsidR="00177955" w:rsidRDefault="00177955">
      <w:pPr>
        <w:pStyle w:val="NormalIndent"/>
        <w:numPr>
          <w:ilvl w:val="0"/>
          <w:numId w:val="3"/>
        </w:numPr>
        <w:jc w:val="left"/>
        <w:rPr>
          <w:sz w:val="24"/>
          <w:szCs w:val="24"/>
        </w:rPr>
      </w:pPr>
      <w:r>
        <w:rPr>
          <w:sz w:val="24"/>
          <w:szCs w:val="24"/>
        </w:rPr>
        <w:t xml:space="preserve">zapewnienie skuteczności ochrony przeciwporażeniowej w instalacjach, z zabezpieczeniami nadmiarowo prądowymi,  </w:t>
      </w:r>
    </w:p>
    <w:p w:rsidR="00177955" w:rsidRDefault="00177955">
      <w:pPr>
        <w:pStyle w:val="NormalIndent"/>
        <w:numPr>
          <w:ilvl w:val="0"/>
          <w:numId w:val="3"/>
        </w:numPr>
        <w:spacing w:after="60"/>
        <w:jc w:val="left"/>
        <w:rPr>
          <w:sz w:val="24"/>
          <w:szCs w:val="24"/>
        </w:rPr>
      </w:pPr>
      <w:r>
        <w:rPr>
          <w:sz w:val="24"/>
          <w:szCs w:val="24"/>
        </w:rPr>
        <w:t xml:space="preserve">skuteczność </w:t>
      </w:r>
      <w:r>
        <w:t xml:space="preserve">ochronny w instalacjach z </w:t>
      </w:r>
      <w:r>
        <w:rPr>
          <w:sz w:val="24"/>
          <w:szCs w:val="24"/>
        </w:rPr>
        <w:t>u</w:t>
      </w:r>
      <w:r>
        <w:t>rządzeniami różnicowoprądowym,</w:t>
      </w:r>
    </w:p>
    <w:p w:rsidR="00177955" w:rsidRDefault="00177955">
      <w:pPr>
        <w:pStyle w:val="NormalIndent"/>
        <w:numPr>
          <w:ilvl w:val="0"/>
          <w:numId w:val="3"/>
        </w:numPr>
        <w:spacing w:after="60"/>
        <w:jc w:val="left"/>
        <w:rPr>
          <w:sz w:val="24"/>
          <w:szCs w:val="24"/>
        </w:rPr>
      </w:pPr>
      <w:r>
        <w:t>wymagane parametry urządzeń piorunochronnych z przykładami błędnych rozwiązań ochrony odgromowej,</w:t>
      </w:r>
    </w:p>
    <w:p w:rsidR="00177955" w:rsidRDefault="00177955">
      <w:pPr>
        <w:pStyle w:val="NormalIndent"/>
        <w:numPr>
          <w:ilvl w:val="0"/>
          <w:numId w:val="3"/>
        </w:numPr>
        <w:spacing w:after="60"/>
        <w:jc w:val="left"/>
        <w:rPr>
          <w:sz w:val="24"/>
          <w:szCs w:val="24"/>
        </w:rPr>
      </w:pPr>
      <w:r>
        <w:t xml:space="preserve">parametry ochronników przed przepięciami atmosferycznymi lub łączeniowymi, </w:t>
      </w:r>
    </w:p>
    <w:p w:rsidR="00177955" w:rsidRDefault="00177955">
      <w:pPr>
        <w:pStyle w:val="NormalIndent"/>
        <w:numPr>
          <w:ilvl w:val="0"/>
          <w:numId w:val="3"/>
        </w:numPr>
        <w:spacing w:after="60"/>
        <w:jc w:val="left"/>
        <w:rPr>
          <w:sz w:val="24"/>
          <w:szCs w:val="24"/>
        </w:rPr>
      </w:pPr>
      <w:r>
        <w:t>wymagania dla połączeń ochronnych w instalacjach i sprawdzanie ich skuteczności.</w:t>
      </w:r>
    </w:p>
    <w:p w:rsidR="00177955" w:rsidRDefault="00177955">
      <w:pPr>
        <w:pStyle w:val="NormalIndent"/>
        <w:numPr>
          <w:ilvl w:val="0"/>
          <w:numId w:val="2"/>
        </w:numPr>
        <w:spacing w:before="120" w:after="60"/>
        <w:jc w:val="left"/>
        <w:rPr>
          <w:b/>
          <w:bCs/>
          <w:sz w:val="24"/>
          <w:szCs w:val="24"/>
        </w:rPr>
      </w:pPr>
      <w:r>
        <w:rPr>
          <w:b/>
          <w:bCs/>
          <w:sz w:val="24"/>
          <w:szCs w:val="24"/>
        </w:rPr>
        <w:t>Dopuszczalne spadki napięcia w przewodach</w:t>
      </w:r>
    </w:p>
    <w:p w:rsidR="00177955" w:rsidRDefault="00177955">
      <w:pPr>
        <w:pStyle w:val="style1"/>
        <w:shd w:val="clear" w:color="auto" w:fill="FFFFFF"/>
        <w:spacing w:before="0" w:after="150"/>
        <w:rPr>
          <w:rFonts w:cs="Arial"/>
          <w:color w:val="000000"/>
        </w:rPr>
      </w:pPr>
      <w:r>
        <w:rPr>
          <w:rFonts w:cs="Arial"/>
        </w:rPr>
        <w:t>Obowiązująca obecnie w Polsce norma PN-IEC 60364-5-52:2011/Ap2P “Instalacje elektryczne niskiego napięcia – Część  5-52: Dobór i montaż wyposażenia elektrycznego – Oprzewodowanie.”  podaje dopuszczalną wartość spadku napięcia w budynkach nieprzemysłowych na odcinku od złącza do końca dowolnego obwodu odbiorczego. S</w:t>
      </w:r>
      <w:r>
        <w:rPr>
          <w:rFonts w:cs="Arial"/>
          <w:color w:val="000000"/>
        </w:rPr>
        <w:t>padek napięcia w instalacjach odbiorczych o napięciu do 1 kV, pomiędzy złączem a dowolnym punktem odbiorczym nie powinien być większy, w odniesieniu do wartości nominalnego napięcia instalacji, niż:</w:t>
      </w:r>
      <w:r>
        <w:rPr>
          <w:rFonts w:cs="Arial"/>
          <w:color w:val="000000"/>
        </w:rPr>
        <w:br/>
        <w:t xml:space="preserve"> 1) Dla instalacji typu A (Instalacje niskiego napięcia zasilane bezpośrednio z publicznej sieci rozdzielczej niskiego napięcia):</w:t>
      </w:r>
      <w:r>
        <w:rPr>
          <w:rFonts w:cs="Arial"/>
          <w:color w:val="000000"/>
        </w:rPr>
        <w:br/>
        <w:t xml:space="preserve"> – oświetlenie  3%,   – inne odbiorniki – 5%;</w:t>
      </w:r>
      <w:r>
        <w:rPr>
          <w:rFonts w:cs="Arial"/>
          <w:color w:val="000000"/>
        </w:rPr>
        <w:br/>
        <w:t xml:space="preserve"> 2) Dla instalacji typu B (Instalacje niskiego napięcia zasilane z własnego źródła zasilania </w:t>
      </w:r>
      <w:r>
        <w:rPr>
          <w:rFonts w:cs="Arial"/>
          <w:color w:val="000000"/>
          <w:vertAlign w:val="superscript"/>
        </w:rPr>
        <w:t>a)</w:t>
      </w:r>
      <w:r>
        <w:rPr>
          <w:rFonts w:cs="Arial"/>
          <w:color w:val="000000"/>
        </w:rPr>
        <w:t>):</w:t>
      </w:r>
      <w:r>
        <w:rPr>
          <w:rFonts w:cs="Arial"/>
          <w:color w:val="000000"/>
        </w:rPr>
        <w:br/>
        <w:t xml:space="preserve"> – oświetlenie – 6%,</w:t>
      </w:r>
      <w:r>
        <w:rPr>
          <w:rFonts w:cs="Arial"/>
          <w:color w:val="000000"/>
        </w:rPr>
        <w:br/>
        <w:t xml:space="preserve"> – inne odbiorniki – 8%.</w:t>
      </w:r>
    </w:p>
    <w:p w:rsidR="00177955" w:rsidRDefault="00177955">
      <w:pPr>
        <w:pStyle w:val="style1"/>
        <w:numPr>
          <w:ilvl w:val="0"/>
          <w:numId w:val="21"/>
        </w:numPr>
        <w:shd w:val="clear" w:color="auto" w:fill="FFFFFF"/>
        <w:spacing w:before="0" w:after="150"/>
        <w:rPr>
          <w:rFonts w:cs="Arial"/>
          <w:color w:val="000000"/>
        </w:rPr>
      </w:pPr>
      <w:r>
        <w:rPr>
          <w:rFonts w:cs="Arial"/>
          <w:color w:val="000000"/>
        </w:rPr>
        <w:t>zaleca się, aby spadek napięcia w obwodach końcowych nie przekraczał wartości podanych dla instalacji typu A.</w:t>
      </w:r>
    </w:p>
    <w:p w:rsidR="00177955" w:rsidRDefault="00177955">
      <w:pPr>
        <w:pStyle w:val="NormalIndent"/>
        <w:spacing w:after="60"/>
        <w:jc w:val="left"/>
        <w:rPr>
          <w:sz w:val="24"/>
          <w:szCs w:val="24"/>
        </w:rPr>
      </w:pPr>
      <w:r>
        <w:rPr>
          <w:sz w:val="24"/>
          <w:szCs w:val="24"/>
        </w:rPr>
        <w:t xml:space="preserve">Odbiorniki energii elektrycznej pracują poprawnie przy zasilaniu ich napięciem zbliżonym do wartości znamionowej. Niekiedy wymagane jest zastosowanie przewodów o większym przekroju żył, niż wynika to z warunku długotrwałej obciążalności prądowej, aby odchylenia napięcia w żądnym fragmencie instalacji nie przekraczały wartości granicznych dopuszczalnych, ustalonych przez odpowiednie normy, przy założeniu, że występujące odchylenia napięcia spowodowane spadkami napięć nie spowodują zakłóceń w pracy odbiorników. </w:t>
      </w:r>
    </w:p>
    <w:p w:rsidR="00177955" w:rsidRDefault="00177955">
      <w:pPr>
        <w:pStyle w:val="NormalIndent"/>
        <w:spacing w:after="60"/>
        <w:jc w:val="left"/>
        <w:rPr>
          <w:sz w:val="24"/>
          <w:szCs w:val="24"/>
        </w:rPr>
      </w:pPr>
      <w:r>
        <w:rPr>
          <w:sz w:val="24"/>
          <w:szCs w:val="24"/>
        </w:rPr>
        <w:t>Dopuszczalny spadek napięcia wg. normy PN-IEC 60364-5-52:2011, pomiędzy złączem instalacji elektrycznej a odbiornikiem wynosi ok. 4%. Spadek napięcia od licznika energii elektrycznej do punktu przyłączenia odbiornika, nie powinien przekraczać 3%. Spadki napięcia w wewnętrznych liniach zasilających, wlz. nie powinny przekraczać wartości wynikających z ich obciążenia wg. poniższej tabeli 2.1.</w:t>
      </w:r>
    </w:p>
    <w:p w:rsidR="00177955" w:rsidRDefault="00177955">
      <w:pPr>
        <w:pStyle w:val="NormalIndent"/>
        <w:spacing w:after="60"/>
        <w:ind w:firstLine="0"/>
        <w:jc w:val="left"/>
        <w:rPr>
          <w:sz w:val="24"/>
          <w:szCs w:val="24"/>
        </w:rPr>
      </w:pPr>
      <w:r>
        <w:rPr>
          <w:sz w:val="24"/>
          <w:szCs w:val="24"/>
        </w:rPr>
        <w:t>Tabela 2.1.  Graniczne dopuszczalne spadki napięcia w WLZ- tach budynków mieszkalnych.</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4860"/>
        <w:gridCol w:w="2984"/>
      </w:tblGrid>
      <w:tr w:rsidR="00177955">
        <w:tblPrEx>
          <w:tblCellMar>
            <w:top w:w="0" w:type="dxa"/>
            <w:bottom w:w="0" w:type="dxa"/>
          </w:tblCellMar>
        </w:tblPrEx>
        <w:tc>
          <w:tcPr>
            <w:tcW w:w="1080" w:type="dxa"/>
          </w:tcPr>
          <w:p w:rsidR="00177955" w:rsidRDefault="00177955">
            <w:pPr>
              <w:pStyle w:val="NormalIndent"/>
              <w:spacing w:after="60"/>
              <w:ind w:firstLine="0"/>
              <w:jc w:val="center"/>
              <w:rPr>
                <w:sz w:val="24"/>
                <w:szCs w:val="24"/>
              </w:rPr>
            </w:pPr>
            <w:r>
              <w:rPr>
                <w:sz w:val="24"/>
                <w:szCs w:val="24"/>
              </w:rPr>
              <w:t>L p.</w:t>
            </w:r>
          </w:p>
        </w:tc>
        <w:tc>
          <w:tcPr>
            <w:tcW w:w="4860" w:type="dxa"/>
          </w:tcPr>
          <w:p w:rsidR="00177955" w:rsidRDefault="00177955">
            <w:pPr>
              <w:pStyle w:val="NormalIndent"/>
              <w:spacing w:after="60"/>
              <w:ind w:firstLine="0"/>
              <w:jc w:val="center"/>
              <w:rPr>
                <w:sz w:val="24"/>
                <w:szCs w:val="24"/>
              </w:rPr>
            </w:pPr>
            <w:r>
              <w:rPr>
                <w:sz w:val="24"/>
                <w:szCs w:val="24"/>
              </w:rPr>
              <w:t>Moc przesyłana linią WLZ w kW</w:t>
            </w:r>
          </w:p>
        </w:tc>
        <w:tc>
          <w:tcPr>
            <w:tcW w:w="2984" w:type="dxa"/>
          </w:tcPr>
          <w:p w:rsidR="00177955" w:rsidRDefault="00177955">
            <w:pPr>
              <w:pStyle w:val="NormalIndent"/>
              <w:spacing w:after="60"/>
              <w:ind w:firstLine="0"/>
              <w:jc w:val="center"/>
              <w:rPr>
                <w:sz w:val="24"/>
                <w:szCs w:val="24"/>
              </w:rPr>
            </w:pPr>
            <w:r>
              <w:rPr>
                <w:rFonts w:ascii="Symbol" w:hAnsi="Symbol" w:cs="Symbol"/>
                <w:sz w:val="24"/>
                <w:szCs w:val="24"/>
              </w:rPr>
              <w:t></w:t>
            </w:r>
            <w:r>
              <w:rPr>
                <w:sz w:val="24"/>
                <w:szCs w:val="24"/>
              </w:rPr>
              <w:t>U</w:t>
            </w:r>
            <w:r>
              <w:rPr>
                <w:sz w:val="24"/>
                <w:szCs w:val="24"/>
                <w:vertAlign w:val="subscript"/>
              </w:rPr>
              <w:t>WLZ</w:t>
            </w:r>
            <w:r>
              <w:rPr>
                <w:sz w:val="24"/>
                <w:szCs w:val="24"/>
              </w:rPr>
              <w:t xml:space="preserve"> w %</w:t>
            </w:r>
          </w:p>
        </w:tc>
      </w:tr>
      <w:tr w:rsidR="00177955">
        <w:tblPrEx>
          <w:tblCellMar>
            <w:top w:w="0" w:type="dxa"/>
            <w:bottom w:w="0" w:type="dxa"/>
          </w:tblCellMar>
        </w:tblPrEx>
        <w:tc>
          <w:tcPr>
            <w:tcW w:w="1080" w:type="dxa"/>
          </w:tcPr>
          <w:p w:rsidR="00177955" w:rsidRDefault="00177955">
            <w:pPr>
              <w:pStyle w:val="NormalIndent"/>
              <w:spacing w:after="60"/>
              <w:ind w:firstLine="0"/>
              <w:jc w:val="center"/>
            </w:pPr>
            <w:r>
              <w:t>1</w:t>
            </w:r>
            <w:r>
              <w:br/>
              <w:t>2</w:t>
            </w:r>
            <w:r>
              <w:br/>
              <w:t>3</w:t>
            </w:r>
            <w:r>
              <w:br/>
              <w:t>4</w:t>
            </w:r>
          </w:p>
        </w:tc>
        <w:tc>
          <w:tcPr>
            <w:tcW w:w="4860" w:type="dxa"/>
          </w:tcPr>
          <w:p w:rsidR="00177955" w:rsidRDefault="00177955">
            <w:pPr>
              <w:pStyle w:val="NormalIndent"/>
              <w:spacing w:after="60"/>
              <w:ind w:firstLine="0"/>
              <w:jc w:val="center"/>
            </w:pPr>
            <w:r>
              <w:t xml:space="preserve">Do 100 </w:t>
            </w:r>
            <w:r>
              <w:br/>
              <w:t>od 100 do 250</w:t>
            </w:r>
            <w:r>
              <w:br/>
              <w:t>od 250 do 400</w:t>
            </w:r>
            <w:r>
              <w:br/>
              <w:t>powyżej 400</w:t>
            </w:r>
          </w:p>
        </w:tc>
        <w:tc>
          <w:tcPr>
            <w:tcW w:w="2984" w:type="dxa"/>
          </w:tcPr>
          <w:p w:rsidR="00177955" w:rsidRDefault="00177955">
            <w:pPr>
              <w:pStyle w:val="NormalIndent"/>
              <w:spacing w:after="60"/>
              <w:ind w:firstLine="0"/>
              <w:jc w:val="center"/>
            </w:pPr>
            <w:r>
              <w:t>0,5</w:t>
            </w:r>
            <w:r>
              <w:br/>
              <w:t>1,0</w:t>
            </w:r>
            <w:r>
              <w:br/>
              <w:t>1,25</w:t>
            </w:r>
            <w:r>
              <w:br/>
              <w:t>1,50</w:t>
            </w:r>
          </w:p>
        </w:tc>
      </w:tr>
    </w:tbl>
    <w:p w:rsidR="00177955" w:rsidRDefault="00177955">
      <w:pPr>
        <w:pStyle w:val="style1"/>
        <w:shd w:val="clear" w:color="auto" w:fill="FFFFFF"/>
        <w:spacing w:before="0" w:after="150"/>
        <w:rPr>
          <w:rFonts w:cs="Arial"/>
          <w:color w:val="000000"/>
        </w:rPr>
      </w:pPr>
      <w:r>
        <w:rPr>
          <w:rFonts w:cs="Arial"/>
          <w:color w:val="000000"/>
        </w:rPr>
        <w:br/>
        <w:t xml:space="preserve"> Spadek napięcia w wewnętrznej linii zasilającej (WLZ) dłuższej niż 100 m można zwiększyć o 0,005% na każdy metr oprzewodowania, przy czym maksymalny dopuszczalny wzrost spadku napięcia nie może przekroczyć 0,5%.</w:t>
      </w:r>
    </w:p>
    <w:p w:rsidR="00177955" w:rsidRDefault="00177955">
      <w:pPr>
        <w:pStyle w:val="style1"/>
        <w:shd w:val="clear" w:color="auto" w:fill="FFFFFF"/>
        <w:spacing w:before="0" w:after="150"/>
        <w:rPr>
          <w:rFonts w:cs="Arial"/>
          <w:color w:val="000000"/>
        </w:rPr>
      </w:pPr>
      <w:r>
        <w:rPr>
          <w:rFonts w:cs="Arial"/>
          <w:color w:val="000000"/>
        </w:rPr>
        <w:t xml:space="preserve"> Większe wartości spadku napięcia mogą być przyjęte:</w:t>
      </w:r>
      <w:r>
        <w:rPr>
          <w:rFonts w:cs="Arial"/>
          <w:color w:val="000000"/>
        </w:rPr>
        <w:br/>
        <w:t xml:space="preserve"> a) dla silników elektrycznych w czasie rozruchu,</w:t>
      </w:r>
      <w:r>
        <w:rPr>
          <w:rFonts w:cs="Arial"/>
          <w:color w:val="000000"/>
        </w:rPr>
        <w:br/>
        <w:t xml:space="preserve"> b) dla innych odbiorników z dużym prądem rozruchowym, pod warunkiem że w obu przypadkach zmiany napięcia pozostają w granicach określonych w normach  dotyczących danego sprzętu.</w:t>
      </w:r>
    </w:p>
    <w:p w:rsidR="00177955" w:rsidRDefault="00177955">
      <w:pPr>
        <w:pStyle w:val="NormalIndent"/>
        <w:spacing w:after="60"/>
        <w:jc w:val="left"/>
        <w:rPr>
          <w:sz w:val="24"/>
          <w:szCs w:val="24"/>
        </w:rPr>
      </w:pPr>
      <w:r>
        <w:rPr>
          <w:sz w:val="24"/>
          <w:szCs w:val="24"/>
        </w:rPr>
        <w:t>Przy założeniu znamionowej wartości napięcia w złączu, wg. norm niemieckich DIN VDE 0100 maksymalne odchylenia napięcia na tablicy odbiorczej mogą wynosić od 0,5 do 1,5 %, podczas gdy wg. normy polskiej mogą dochodzić do 4 %.</w:t>
      </w:r>
    </w:p>
    <w:p w:rsidR="00177955" w:rsidRDefault="00177955">
      <w:pPr>
        <w:pStyle w:val="NormalIndent"/>
        <w:spacing w:after="60"/>
        <w:jc w:val="left"/>
        <w:rPr>
          <w:sz w:val="24"/>
          <w:szCs w:val="24"/>
        </w:rPr>
      </w:pPr>
      <w:r>
        <w:rPr>
          <w:sz w:val="24"/>
          <w:szCs w:val="24"/>
        </w:rPr>
        <w:t>Komentarz normy podaje, że w obliczeniach należy przyjmować długości przewodów w m, przekroje przewodów w mm</w:t>
      </w:r>
      <w:r>
        <w:rPr>
          <w:sz w:val="24"/>
          <w:szCs w:val="24"/>
          <w:vertAlign w:val="superscript"/>
        </w:rPr>
        <w:t>2</w:t>
      </w:r>
      <w:r>
        <w:rPr>
          <w:sz w:val="24"/>
          <w:szCs w:val="24"/>
        </w:rPr>
        <w:t xml:space="preserve"> a konduktywność </w:t>
      </w:r>
      <w:r>
        <w:rPr>
          <w:rFonts w:ascii="Symbol" w:hAnsi="Symbol" w:cs="Symbol"/>
          <w:sz w:val="24"/>
          <w:szCs w:val="24"/>
        </w:rPr>
        <w:t></w:t>
      </w:r>
      <w:r>
        <w:rPr>
          <w:sz w:val="24"/>
          <w:szCs w:val="24"/>
        </w:rPr>
        <w:t xml:space="preserve"> w m</w:t>
      </w:r>
      <w:r>
        <w:rPr>
          <w:rFonts w:ascii="Symbol" w:hAnsi="Symbol" w:cs="Symbol"/>
          <w:sz w:val="24"/>
          <w:szCs w:val="24"/>
        </w:rPr>
        <w:t></w:t>
      </w:r>
      <w:r>
        <w:rPr>
          <w:sz w:val="24"/>
          <w:szCs w:val="24"/>
        </w:rPr>
        <w:t>/m (56 dla żył Cu i 33 dla Al). Jednostkowe reaktancje wynoszą ok. 0,07 – 0,08 m</w:t>
      </w:r>
      <w:r>
        <w:rPr>
          <w:rFonts w:ascii="Symbol" w:hAnsi="Symbol" w:cs="Symbol"/>
          <w:sz w:val="24"/>
          <w:szCs w:val="24"/>
        </w:rPr>
        <w:t></w:t>
      </w:r>
      <w:r>
        <w:rPr>
          <w:sz w:val="24"/>
          <w:szCs w:val="24"/>
        </w:rPr>
        <w:t>/m dla linii kablowych; 0,10 m</w:t>
      </w:r>
      <w:r>
        <w:rPr>
          <w:rFonts w:ascii="Symbol" w:hAnsi="Symbol" w:cs="Symbol"/>
          <w:sz w:val="24"/>
          <w:szCs w:val="24"/>
        </w:rPr>
        <w:t></w:t>
      </w:r>
      <w:r>
        <w:rPr>
          <w:sz w:val="24"/>
          <w:szCs w:val="24"/>
        </w:rPr>
        <w:t>/m dla instalacji w rurkach oraz 0,25 – 0,30 m</w:t>
      </w:r>
      <w:r>
        <w:rPr>
          <w:rFonts w:ascii="Symbol" w:hAnsi="Symbol" w:cs="Symbol"/>
          <w:sz w:val="24"/>
          <w:szCs w:val="24"/>
        </w:rPr>
        <w:t></w:t>
      </w:r>
      <w:r>
        <w:rPr>
          <w:sz w:val="24"/>
          <w:szCs w:val="24"/>
        </w:rPr>
        <w:t>/m dla linii napowietrznych niskiego napięcia. Dla linii kablowych lub instalacji elektrycznych wykonanych kablami, przewodami wielożyłowymi lub jednożyłowymi ułożonymi w rurkach, o przekroju nie większym niż 50 mm</w:t>
      </w:r>
      <w:r>
        <w:rPr>
          <w:sz w:val="24"/>
          <w:szCs w:val="24"/>
          <w:vertAlign w:val="superscript"/>
        </w:rPr>
        <w:t>2</w:t>
      </w:r>
      <w:r>
        <w:rPr>
          <w:sz w:val="24"/>
          <w:szCs w:val="24"/>
        </w:rPr>
        <w:t xml:space="preserve"> Cu lub 70 mm</w:t>
      </w:r>
      <w:r>
        <w:rPr>
          <w:sz w:val="24"/>
          <w:szCs w:val="24"/>
          <w:vertAlign w:val="superscript"/>
        </w:rPr>
        <w:t>2</w:t>
      </w:r>
      <w:r>
        <w:rPr>
          <w:sz w:val="24"/>
          <w:szCs w:val="24"/>
        </w:rPr>
        <w:t xml:space="preserve"> Al, rezystancje przewodów są ponad czterokrotnie większe od ich reaktancji.</w:t>
      </w:r>
    </w:p>
    <w:p w:rsidR="00177955" w:rsidRDefault="00177955">
      <w:pPr>
        <w:spacing w:after="200" w:line="276" w:lineRule="auto"/>
        <w:rPr>
          <w:b/>
          <w:bCs/>
        </w:rPr>
      </w:pPr>
    </w:p>
    <w:p w:rsidR="00177955" w:rsidRDefault="00177955">
      <w:pPr>
        <w:pStyle w:val="NormalIndent"/>
        <w:spacing w:after="60"/>
        <w:ind w:firstLine="426"/>
        <w:jc w:val="center"/>
        <w:rPr>
          <w:b/>
          <w:bCs/>
          <w:sz w:val="24"/>
          <w:szCs w:val="24"/>
        </w:rPr>
      </w:pPr>
      <w:r>
        <w:rPr>
          <w:b/>
          <w:bCs/>
          <w:sz w:val="24"/>
          <w:szCs w:val="24"/>
        </w:rPr>
        <w:t>3. Sprawdzanie przekroju przewodu ze względu na zabezpieczenie przed skutkami przeciążeń i zwarć</w:t>
      </w:r>
    </w:p>
    <w:p w:rsidR="00177955" w:rsidRDefault="00177955">
      <w:pPr>
        <w:pStyle w:val="NormalIndent"/>
        <w:spacing w:after="60"/>
        <w:jc w:val="left"/>
        <w:rPr>
          <w:sz w:val="24"/>
          <w:szCs w:val="24"/>
        </w:rPr>
      </w:pPr>
      <w:r>
        <w:rPr>
          <w:sz w:val="24"/>
          <w:szCs w:val="24"/>
        </w:rPr>
        <w:t>Prądy przetężeniowe, to prądy przekraczające długotrwałą obciążalność przewodów lub prądy zwarciowe. Prądy przetężeniowe powodują zwiększenie temperatury żył przewodów i uzwojeń urządzeń elektrycznych, co przyspiesza starzenie się izolacji, a niekiedy może być przyczyną jej zniszczenia, powstania pożaru lub wybuchu.</w:t>
      </w:r>
    </w:p>
    <w:p w:rsidR="00177955" w:rsidRDefault="00177955">
      <w:pPr>
        <w:pStyle w:val="NormalIndent"/>
        <w:spacing w:after="60"/>
        <w:jc w:val="left"/>
        <w:rPr>
          <w:sz w:val="24"/>
          <w:szCs w:val="24"/>
        </w:rPr>
      </w:pPr>
      <w:r>
        <w:rPr>
          <w:sz w:val="24"/>
          <w:szCs w:val="24"/>
        </w:rPr>
        <w:t xml:space="preserve">Zasady sprawdzania przekroju przewodów ze względu na zabezpieczenie przed skutkami przepływu prądów przetężeniowych określa PN-HD 60364-4-43:2012P “Instalacje elektryczne w obiektach budowlanych. Ochrona dla zapewnienia bezpieczeństwa. Ochrona przed prądem przeciążeniowym. </w:t>
      </w:r>
    </w:p>
    <w:p w:rsidR="00177955" w:rsidRDefault="00177955">
      <w:pPr>
        <w:pStyle w:val="NormalIndent"/>
        <w:spacing w:after="60"/>
        <w:ind w:firstLine="0"/>
        <w:jc w:val="left"/>
        <w:rPr>
          <w:b/>
          <w:bCs/>
          <w:sz w:val="24"/>
          <w:szCs w:val="24"/>
        </w:rPr>
      </w:pPr>
      <w:r>
        <w:rPr>
          <w:b/>
          <w:bCs/>
          <w:sz w:val="24"/>
          <w:szCs w:val="24"/>
        </w:rPr>
        <w:t>3.1. Zabezpieczenie przewodów instalacyjnych przed skutkami przeciążeń</w:t>
      </w:r>
    </w:p>
    <w:p w:rsidR="00177955" w:rsidRDefault="00177955">
      <w:pPr>
        <w:pStyle w:val="NormalIndent"/>
        <w:spacing w:after="60"/>
        <w:jc w:val="left"/>
        <w:rPr>
          <w:sz w:val="24"/>
          <w:szCs w:val="24"/>
        </w:rPr>
      </w:pPr>
      <w:r>
        <w:rPr>
          <w:sz w:val="24"/>
          <w:szCs w:val="24"/>
        </w:rPr>
        <w:t>W przypadku zastosowania w instalacji elektrycznej samoczynnego wyłączenia zasilania. jako sposobu ochrony przy uszkodzeniu, przekroje przewodów w układzie TN powinny być tak dobrane, aby nastąpiło zadziałanie zabezpieczenia odłączającego zasilanie, w odpowiednio krótkim czasie, zgodnie z normą PN–HD 60364- 6:2019-12P. Aby było to możliwe powinien być spełniony warunek: I</w:t>
      </w:r>
      <w:r>
        <w:rPr>
          <w:sz w:val="24"/>
          <w:szCs w:val="24"/>
          <w:vertAlign w:val="subscript"/>
        </w:rPr>
        <w:t>k</w:t>
      </w:r>
      <w:r>
        <w:rPr>
          <w:sz w:val="24"/>
          <w:szCs w:val="24"/>
        </w:rPr>
        <w:t xml:space="preserve"> ≥ Ia. Prąd Ia – wyznacza się z wzoru: Ia = k</w:t>
      </w:r>
      <w:r>
        <w:rPr>
          <w:rFonts w:ascii="Cambria Math" w:hAnsi="Cambria Math" w:cs="Cambria Math"/>
          <w:sz w:val="24"/>
          <w:szCs w:val="24"/>
        </w:rPr>
        <w:t>⋅</w:t>
      </w:r>
      <w:r>
        <w:rPr>
          <w:sz w:val="24"/>
          <w:szCs w:val="24"/>
        </w:rPr>
        <w:t xml:space="preserve">In </w:t>
      </w:r>
    </w:p>
    <w:p w:rsidR="00177955" w:rsidRDefault="00177955">
      <w:pPr>
        <w:pStyle w:val="NormalIndent"/>
        <w:spacing w:after="60"/>
        <w:jc w:val="left"/>
        <w:rPr>
          <w:sz w:val="24"/>
          <w:szCs w:val="24"/>
        </w:rPr>
      </w:pPr>
      <w:r>
        <w:rPr>
          <w:sz w:val="24"/>
          <w:szCs w:val="24"/>
        </w:rPr>
        <w:t>Gdzie: - I</w:t>
      </w:r>
      <w:r>
        <w:rPr>
          <w:sz w:val="24"/>
          <w:szCs w:val="24"/>
          <w:vertAlign w:val="subscript"/>
        </w:rPr>
        <w:t>k</w:t>
      </w:r>
      <w:r>
        <w:rPr>
          <w:sz w:val="24"/>
          <w:szCs w:val="24"/>
        </w:rPr>
        <w:t xml:space="preserve"> – spodziewany prąd zwarciowy, </w:t>
      </w:r>
    </w:p>
    <w:p w:rsidR="00177955" w:rsidRDefault="00177955">
      <w:pPr>
        <w:pStyle w:val="NormalIndent"/>
        <w:spacing w:after="60"/>
        <w:jc w:val="left"/>
        <w:rPr>
          <w:sz w:val="24"/>
          <w:szCs w:val="24"/>
        </w:rPr>
      </w:pPr>
      <w:r>
        <w:rPr>
          <w:sz w:val="24"/>
          <w:szCs w:val="24"/>
        </w:rPr>
        <w:t xml:space="preserve">- Ia – prąd zapewniający samoczynne zadziałanie zabezpieczenia odłączającego </w:t>
      </w:r>
      <w:r>
        <w:rPr>
          <w:sz w:val="24"/>
          <w:szCs w:val="24"/>
        </w:rPr>
        <w:br/>
        <w:t xml:space="preserve"> </w:t>
      </w:r>
      <w:r>
        <w:rPr>
          <w:sz w:val="24"/>
          <w:szCs w:val="24"/>
        </w:rPr>
        <w:tab/>
        <w:t xml:space="preserve">zasilanie, w odpowiednio krótkim czasie, </w:t>
      </w:r>
    </w:p>
    <w:p w:rsidR="00177955" w:rsidRDefault="00177955">
      <w:pPr>
        <w:pStyle w:val="NormalIndent"/>
        <w:spacing w:after="60"/>
        <w:jc w:val="left"/>
        <w:rPr>
          <w:sz w:val="24"/>
          <w:szCs w:val="24"/>
        </w:rPr>
      </w:pPr>
      <w:r>
        <w:rPr>
          <w:sz w:val="24"/>
          <w:szCs w:val="24"/>
        </w:rPr>
        <w:t xml:space="preserve">- In – prąd znamionowy lub nastawczy urządzenia zabezpieczającego, </w:t>
      </w:r>
    </w:p>
    <w:p w:rsidR="00177955" w:rsidRDefault="00177955">
      <w:pPr>
        <w:pStyle w:val="NormalIndent"/>
        <w:spacing w:after="60"/>
        <w:jc w:val="left"/>
        <w:rPr>
          <w:sz w:val="24"/>
          <w:szCs w:val="24"/>
        </w:rPr>
      </w:pPr>
      <w:r>
        <w:rPr>
          <w:sz w:val="24"/>
          <w:szCs w:val="24"/>
        </w:rPr>
        <w:t xml:space="preserve">- k – współczynnik wyznaczany z charakterystyk czasowo prądowych </w:t>
      </w:r>
      <w:r>
        <w:rPr>
          <w:sz w:val="24"/>
          <w:szCs w:val="24"/>
        </w:rPr>
        <w:br/>
        <w:t xml:space="preserve"> </w:t>
      </w:r>
      <w:r>
        <w:rPr>
          <w:sz w:val="24"/>
          <w:szCs w:val="24"/>
        </w:rPr>
        <w:tab/>
        <w:t xml:space="preserve">zabezpieczeń. </w:t>
      </w:r>
    </w:p>
    <w:p w:rsidR="00177955" w:rsidRDefault="00177955">
      <w:pPr>
        <w:pStyle w:val="NormalIndent"/>
        <w:spacing w:after="60"/>
        <w:jc w:val="left"/>
        <w:rPr>
          <w:sz w:val="24"/>
          <w:szCs w:val="24"/>
        </w:rPr>
      </w:pPr>
      <w:r>
        <w:rPr>
          <w:sz w:val="24"/>
          <w:szCs w:val="24"/>
        </w:rPr>
        <w:t>W przypadku nie spełnienia tego warunku należy zwiększyć przekrój przewodów, lub ograniczyć długość przewodów odbiorczych.</w:t>
      </w:r>
    </w:p>
    <w:p w:rsidR="00177955" w:rsidRDefault="00177955">
      <w:pPr>
        <w:pStyle w:val="NormalIndent"/>
        <w:spacing w:after="60"/>
        <w:jc w:val="left"/>
        <w:rPr>
          <w:sz w:val="24"/>
          <w:szCs w:val="24"/>
        </w:rPr>
      </w:pPr>
      <w:r>
        <w:rPr>
          <w:sz w:val="24"/>
          <w:szCs w:val="24"/>
        </w:rPr>
        <w:t>Zabezpieczenie przed skutkami przeciążeń jest skuteczne, jeżeli przy przepływie prądu o wartości większej od długotrwałej obciążalności prądowej Iz</w:t>
      </w:r>
      <w:r>
        <w:rPr>
          <w:sz w:val="24"/>
          <w:szCs w:val="24"/>
          <w:vertAlign w:val="subscript"/>
        </w:rPr>
        <w:t>,</w:t>
      </w:r>
      <w:r>
        <w:rPr>
          <w:sz w:val="24"/>
          <w:szCs w:val="24"/>
        </w:rPr>
        <w:t xml:space="preserve"> nastąpi zadziałanie zabezpieczeń o prądzie znamionowym, lub nastawionym I</w:t>
      </w:r>
      <w:r>
        <w:rPr>
          <w:sz w:val="24"/>
          <w:szCs w:val="24"/>
          <w:vertAlign w:val="subscript"/>
        </w:rPr>
        <w:t>n,</w:t>
      </w:r>
      <w:r>
        <w:rPr>
          <w:sz w:val="24"/>
          <w:szCs w:val="24"/>
        </w:rPr>
        <w:t xml:space="preserve"> przy prądzie I</w:t>
      </w:r>
      <w:r>
        <w:rPr>
          <w:sz w:val="24"/>
          <w:szCs w:val="24"/>
          <w:vertAlign w:val="subscript"/>
        </w:rPr>
        <w:t>2</w:t>
      </w:r>
      <w:r>
        <w:rPr>
          <w:sz w:val="24"/>
          <w:szCs w:val="24"/>
        </w:rPr>
        <w:t>, a prąd I</w:t>
      </w:r>
      <w:r>
        <w:rPr>
          <w:sz w:val="24"/>
          <w:szCs w:val="24"/>
          <w:vertAlign w:val="subscript"/>
        </w:rPr>
        <w:t>B</w:t>
      </w:r>
      <w:r>
        <w:rPr>
          <w:sz w:val="24"/>
          <w:szCs w:val="24"/>
        </w:rPr>
        <w:t xml:space="preserve"> to prąd obliczeniowy lub znamionowy odbiornika, czyli jeżeli spełnione są zależności: </w:t>
      </w:r>
    </w:p>
    <w:p w:rsidR="00177955" w:rsidRDefault="00177955">
      <w:pPr>
        <w:pStyle w:val="NormalIndent"/>
        <w:spacing w:after="60"/>
        <w:jc w:val="center"/>
        <w:rPr>
          <w:sz w:val="24"/>
          <w:szCs w:val="24"/>
          <w:vertAlign w:val="subscript"/>
        </w:rPr>
      </w:pPr>
      <w:r>
        <w:rPr>
          <w:sz w:val="24"/>
          <w:szCs w:val="24"/>
        </w:rPr>
        <w:t>I</w:t>
      </w:r>
      <w:r>
        <w:rPr>
          <w:sz w:val="24"/>
          <w:szCs w:val="24"/>
          <w:vertAlign w:val="subscript"/>
        </w:rPr>
        <w:t>B</w:t>
      </w:r>
      <w:r>
        <w:rPr>
          <w:sz w:val="24"/>
          <w:szCs w:val="24"/>
        </w:rPr>
        <w:t xml:space="preserve"> ≤ I</w:t>
      </w:r>
      <w:r>
        <w:rPr>
          <w:sz w:val="24"/>
          <w:szCs w:val="24"/>
          <w:vertAlign w:val="subscript"/>
        </w:rPr>
        <w:t>n</w:t>
      </w:r>
      <w:r>
        <w:rPr>
          <w:sz w:val="24"/>
          <w:szCs w:val="24"/>
        </w:rPr>
        <w:t xml:space="preserve"> ≤ I</w:t>
      </w:r>
      <w:r>
        <w:rPr>
          <w:sz w:val="24"/>
          <w:szCs w:val="24"/>
          <w:vertAlign w:val="subscript"/>
        </w:rPr>
        <w:t xml:space="preserve">Z </w:t>
      </w:r>
      <w:r>
        <w:rPr>
          <w:sz w:val="24"/>
          <w:szCs w:val="24"/>
          <w:vertAlign w:val="subscript"/>
        </w:rPr>
        <w:tab/>
        <w:t xml:space="preserve"> </w:t>
      </w:r>
      <w:r>
        <w:rPr>
          <w:sz w:val="24"/>
          <w:szCs w:val="24"/>
        </w:rPr>
        <w:t xml:space="preserve">i  </w:t>
      </w:r>
      <w:r>
        <w:rPr>
          <w:sz w:val="24"/>
          <w:szCs w:val="24"/>
        </w:rPr>
        <w:tab/>
        <w:t>I</w:t>
      </w:r>
      <w:r>
        <w:rPr>
          <w:sz w:val="24"/>
          <w:szCs w:val="24"/>
          <w:vertAlign w:val="subscript"/>
        </w:rPr>
        <w:t>2</w:t>
      </w:r>
      <w:r>
        <w:rPr>
          <w:sz w:val="24"/>
          <w:szCs w:val="24"/>
        </w:rPr>
        <w:t xml:space="preserve"> ≤ 1,45 Iz</w:t>
      </w:r>
    </w:p>
    <w:p w:rsidR="00177955" w:rsidRDefault="00177955">
      <w:pPr>
        <w:pStyle w:val="NormalIndent"/>
        <w:spacing w:after="60"/>
        <w:jc w:val="left"/>
        <w:rPr>
          <w:sz w:val="24"/>
          <w:szCs w:val="24"/>
        </w:rPr>
      </w:pPr>
      <w:r>
        <w:rPr>
          <w:sz w:val="24"/>
          <w:szCs w:val="24"/>
        </w:rPr>
        <w:t>Gdzie:</w:t>
      </w:r>
    </w:p>
    <w:p w:rsidR="00177955" w:rsidRDefault="00177955">
      <w:pPr>
        <w:pStyle w:val="NormalIndent"/>
        <w:spacing w:after="60"/>
        <w:jc w:val="left"/>
        <w:rPr>
          <w:color w:val="000000"/>
          <w:sz w:val="24"/>
          <w:szCs w:val="24"/>
          <w:shd w:val="clear" w:color="auto" w:fill="FFFFFF"/>
        </w:rPr>
      </w:pPr>
      <w:r>
        <w:rPr>
          <w:rStyle w:val="Emphasis"/>
          <w:rFonts w:cs="Arial"/>
          <w:i w:val="0"/>
          <w:iCs w:val="0"/>
          <w:color w:val="000000"/>
          <w:sz w:val="24"/>
          <w:szCs w:val="24"/>
          <w:shd w:val="clear" w:color="auto" w:fill="FFFFFF"/>
        </w:rPr>
        <w:t>I</w:t>
      </w:r>
      <w:r>
        <w:rPr>
          <w:color w:val="000000"/>
          <w:sz w:val="24"/>
          <w:szCs w:val="24"/>
          <w:shd w:val="clear" w:color="auto" w:fill="FFFFFF"/>
          <w:vertAlign w:val="subscript"/>
        </w:rPr>
        <w:t xml:space="preserve">B </w:t>
      </w:r>
      <w:r>
        <w:rPr>
          <w:color w:val="000000"/>
          <w:sz w:val="24"/>
          <w:szCs w:val="24"/>
          <w:shd w:val="clear" w:color="auto" w:fill="FFFFFF"/>
        </w:rPr>
        <w:t>– obliczeniowy prąd szczytowy obwodu, w A;</w:t>
      </w:r>
    </w:p>
    <w:p w:rsidR="00177955" w:rsidRDefault="00177955">
      <w:pPr>
        <w:pStyle w:val="NormalIndent"/>
        <w:spacing w:after="60"/>
        <w:jc w:val="left"/>
        <w:rPr>
          <w:color w:val="000000"/>
          <w:sz w:val="24"/>
          <w:szCs w:val="24"/>
        </w:rPr>
      </w:pPr>
      <w:r>
        <w:rPr>
          <w:rStyle w:val="Emphasis"/>
          <w:rFonts w:cs="Arial"/>
          <w:i w:val="0"/>
          <w:iCs w:val="0"/>
          <w:color w:val="000000"/>
          <w:sz w:val="24"/>
          <w:szCs w:val="24"/>
          <w:shd w:val="clear" w:color="auto" w:fill="FFFFFF"/>
        </w:rPr>
        <w:t>I</w:t>
      </w:r>
      <w:r>
        <w:rPr>
          <w:color w:val="000000"/>
          <w:sz w:val="24"/>
          <w:szCs w:val="24"/>
          <w:shd w:val="clear" w:color="auto" w:fill="FFFFFF"/>
          <w:vertAlign w:val="subscript"/>
        </w:rPr>
        <w:t xml:space="preserve">n </w:t>
      </w:r>
      <w:r>
        <w:rPr>
          <w:color w:val="000000"/>
          <w:sz w:val="24"/>
          <w:szCs w:val="24"/>
          <w:shd w:val="clear" w:color="auto" w:fill="FFFFFF"/>
        </w:rPr>
        <w:t>– prąd znamionowy lub prąd nastawienia urządzenia zabezpieczającego, w A;</w:t>
      </w:r>
    </w:p>
    <w:p w:rsidR="00177955" w:rsidRDefault="00177955">
      <w:pPr>
        <w:pStyle w:val="NormalIndent"/>
        <w:spacing w:after="60"/>
        <w:jc w:val="left"/>
        <w:rPr>
          <w:color w:val="000000"/>
          <w:sz w:val="24"/>
          <w:szCs w:val="24"/>
          <w:shd w:val="clear" w:color="auto" w:fill="FFFFFF"/>
        </w:rPr>
      </w:pPr>
      <w:r>
        <w:rPr>
          <w:rStyle w:val="Emphasis"/>
          <w:rFonts w:cs="Arial"/>
          <w:i w:val="0"/>
          <w:iCs w:val="0"/>
          <w:color w:val="000000"/>
          <w:sz w:val="24"/>
          <w:szCs w:val="24"/>
          <w:shd w:val="clear" w:color="auto" w:fill="FFFFFF"/>
        </w:rPr>
        <w:t>Iz</w:t>
      </w:r>
      <w:r>
        <w:rPr>
          <w:color w:val="000000"/>
          <w:sz w:val="24"/>
          <w:szCs w:val="24"/>
          <w:shd w:val="clear" w:color="auto" w:fill="FFFFFF"/>
          <w:vertAlign w:val="subscript"/>
        </w:rPr>
        <w:t xml:space="preserve"> </w:t>
      </w:r>
      <w:r>
        <w:rPr>
          <w:color w:val="000000"/>
          <w:sz w:val="24"/>
          <w:szCs w:val="24"/>
          <w:shd w:val="clear" w:color="auto" w:fill="FFFFFF"/>
        </w:rPr>
        <w:t>– obciążalność prądowa długotrwała przewodu, w A;</w:t>
      </w:r>
    </w:p>
    <w:p w:rsidR="00177955" w:rsidRDefault="00177955">
      <w:pPr>
        <w:pStyle w:val="NormalIndent"/>
        <w:spacing w:after="60"/>
        <w:jc w:val="left"/>
        <w:rPr>
          <w:sz w:val="24"/>
          <w:szCs w:val="24"/>
        </w:rPr>
      </w:pPr>
      <w:r>
        <w:rPr>
          <w:rStyle w:val="Emphasis"/>
          <w:rFonts w:cs="Arial"/>
          <w:color w:val="000000"/>
          <w:sz w:val="24"/>
          <w:szCs w:val="24"/>
          <w:shd w:val="clear" w:color="auto" w:fill="FFFFFF"/>
        </w:rPr>
        <w:t xml:space="preserve"> </w:t>
      </w:r>
      <w:r>
        <w:rPr>
          <w:rStyle w:val="Emphasis"/>
          <w:rFonts w:cs="Arial"/>
          <w:i w:val="0"/>
          <w:iCs w:val="0"/>
          <w:color w:val="000000"/>
          <w:sz w:val="24"/>
          <w:szCs w:val="24"/>
          <w:shd w:val="clear" w:color="auto" w:fill="FFFFFF"/>
        </w:rPr>
        <w:t>I</w:t>
      </w:r>
      <w:r>
        <w:rPr>
          <w:i/>
          <w:iCs/>
          <w:color w:val="000000"/>
          <w:sz w:val="24"/>
          <w:szCs w:val="24"/>
          <w:shd w:val="clear" w:color="auto" w:fill="FFFFFF"/>
          <w:vertAlign w:val="subscript"/>
        </w:rPr>
        <w:t>2</w:t>
      </w:r>
      <w:r>
        <w:rPr>
          <w:color w:val="000000"/>
          <w:sz w:val="24"/>
          <w:szCs w:val="24"/>
          <w:shd w:val="clear" w:color="auto" w:fill="FFFFFF"/>
          <w:vertAlign w:val="subscript"/>
        </w:rPr>
        <w:t xml:space="preserve"> </w:t>
      </w:r>
      <w:r>
        <w:rPr>
          <w:color w:val="000000"/>
          <w:sz w:val="24"/>
          <w:szCs w:val="24"/>
          <w:shd w:val="clear" w:color="auto" w:fill="FFFFFF"/>
        </w:rPr>
        <w:t xml:space="preserve">– najmniejszy prąd zapewniający skuteczne zadziałanie urządzenia zabezpieczającego nadpradowego, w A. Wartość </w:t>
      </w:r>
      <w:r>
        <w:rPr>
          <w:rStyle w:val="Emphasis"/>
          <w:rFonts w:cs="Arial"/>
          <w:i w:val="0"/>
          <w:iCs w:val="0"/>
          <w:color w:val="000000"/>
          <w:sz w:val="24"/>
          <w:szCs w:val="24"/>
          <w:shd w:val="clear" w:color="auto" w:fill="FFFFFF"/>
        </w:rPr>
        <w:t>I</w:t>
      </w:r>
      <w:r>
        <w:rPr>
          <w:i/>
          <w:iCs/>
          <w:color w:val="000000"/>
          <w:sz w:val="24"/>
          <w:szCs w:val="24"/>
          <w:shd w:val="clear" w:color="auto" w:fill="FFFFFF"/>
          <w:vertAlign w:val="subscript"/>
        </w:rPr>
        <w:t>2</w:t>
      </w:r>
      <w:r>
        <w:rPr>
          <w:color w:val="000000"/>
          <w:sz w:val="24"/>
          <w:szCs w:val="24"/>
          <w:shd w:val="clear" w:color="auto" w:fill="FFFFFF"/>
          <w:vertAlign w:val="subscript"/>
        </w:rPr>
        <w:t xml:space="preserve"> </w:t>
      </w:r>
      <w:r>
        <w:rPr>
          <w:color w:val="000000"/>
          <w:sz w:val="24"/>
          <w:szCs w:val="24"/>
          <w:shd w:val="clear" w:color="auto" w:fill="FFFFFF"/>
        </w:rPr>
        <w:t>można ustalić z charakterystyki czasowo-prądowej urządzenia zabezpieczającego.</w:t>
      </w:r>
    </w:p>
    <w:p w:rsidR="00177955" w:rsidRDefault="00177955">
      <w:pPr>
        <w:pStyle w:val="NormalIndent"/>
        <w:spacing w:after="60"/>
        <w:jc w:val="left"/>
        <w:rPr>
          <w:sz w:val="24"/>
          <w:szCs w:val="24"/>
        </w:rPr>
      </w:pPr>
      <w:r>
        <w:rPr>
          <w:sz w:val="24"/>
          <w:szCs w:val="24"/>
        </w:rPr>
        <w:t>Jako prąd zadziałania zabezpieczenia w wymaganym czasie należy przyjmować wartości z górnej krzywej czasowo-prądowej charakterystyki pasmowej danego bezpiecznika, lub prąd Ia dla wyłącznika.</w:t>
      </w:r>
    </w:p>
    <w:p w:rsidR="00177955" w:rsidRDefault="00177955">
      <w:pPr>
        <w:pStyle w:val="NormalIndent"/>
        <w:spacing w:after="60"/>
        <w:jc w:val="left"/>
        <w:rPr>
          <w:sz w:val="24"/>
          <w:szCs w:val="24"/>
        </w:rPr>
      </w:pPr>
      <w:r>
        <w:rPr>
          <w:sz w:val="24"/>
          <w:szCs w:val="24"/>
        </w:rPr>
        <w:t>Zabezpieczenia przeciążeniowe powinny być instalowane na początku obwodu oraz w miejscach, poza którymi następuje zmniejszenie się obciążalności przewodów, a zastosowane zabezpieczenia nie chronią już tych odcinków obwodu. Dotyczy to:</w:t>
      </w:r>
    </w:p>
    <w:p w:rsidR="00177955" w:rsidRDefault="00177955">
      <w:pPr>
        <w:pStyle w:val="NormalIndent"/>
        <w:numPr>
          <w:ilvl w:val="0"/>
          <w:numId w:val="1"/>
        </w:numPr>
        <w:spacing w:after="60"/>
        <w:jc w:val="left"/>
        <w:rPr>
          <w:sz w:val="24"/>
          <w:szCs w:val="24"/>
        </w:rPr>
      </w:pPr>
      <w:r>
        <w:rPr>
          <w:sz w:val="24"/>
          <w:szCs w:val="24"/>
        </w:rPr>
        <w:t>zmniejszenia przekroju przewodów lub zmiany rodzaju przewodów,</w:t>
      </w:r>
    </w:p>
    <w:p w:rsidR="00177955" w:rsidRDefault="00177955">
      <w:pPr>
        <w:pStyle w:val="NormalIndent"/>
        <w:numPr>
          <w:ilvl w:val="0"/>
          <w:numId w:val="1"/>
        </w:numPr>
        <w:spacing w:after="60"/>
        <w:jc w:val="left"/>
        <w:rPr>
          <w:sz w:val="24"/>
          <w:szCs w:val="24"/>
        </w:rPr>
      </w:pPr>
      <w:r>
        <w:rPr>
          <w:sz w:val="24"/>
          <w:szCs w:val="24"/>
        </w:rPr>
        <w:t xml:space="preserve">pogorszenia się warunków chłodzenia w wyniku zmiany sposobu ułożenia przewodów, </w:t>
      </w:r>
    </w:p>
    <w:p w:rsidR="00177955" w:rsidRDefault="00177955">
      <w:pPr>
        <w:pStyle w:val="NormalIndent"/>
        <w:numPr>
          <w:ilvl w:val="0"/>
          <w:numId w:val="1"/>
        </w:numPr>
        <w:spacing w:after="60"/>
        <w:jc w:val="left"/>
        <w:rPr>
          <w:sz w:val="24"/>
          <w:szCs w:val="24"/>
        </w:rPr>
      </w:pPr>
      <w:r>
        <w:rPr>
          <w:sz w:val="24"/>
          <w:szCs w:val="24"/>
        </w:rPr>
        <w:t>istnienia innych instalacji lub podwyższonej temperatury otoczenia.</w:t>
      </w:r>
    </w:p>
    <w:p w:rsidR="00177955" w:rsidRDefault="00177955">
      <w:pPr>
        <w:pStyle w:val="NormalIndent"/>
        <w:spacing w:after="60"/>
        <w:jc w:val="left"/>
        <w:rPr>
          <w:sz w:val="24"/>
          <w:szCs w:val="24"/>
        </w:rPr>
      </w:pPr>
      <w:r>
        <w:rPr>
          <w:sz w:val="24"/>
          <w:szCs w:val="24"/>
        </w:rPr>
        <w:t>Można nie stosować dodatkowych zabezpieczeń, jeżeli długość chronionej części obwodu nie przekracza 3 m i nie zawiera rozgałęzień i gniazd wtyczkowych, oraz jest skutecznie zabezpieczona przed prądami zwarciowymi, a instalacja wykonana jest w sposób ograniczający do minimum niebezpieczeństwo powstania zwarcia, np. przez dodatkowe zabezpieczenie przed wpływami zewnętrznymi i nie znajduje się w pobliżu materiałów łatwopalnych.</w:t>
      </w:r>
    </w:p>
    <w:p w:rsidR="00177955" w:rsidRDefault="00177955">
      <w:pPr>
        <w:pStyle w:val="NormalIndent"/>
        <w:spacing w:after="60"/>
        <w:ind w:firstLine="0"/>
        <w:jc w:val="left"/>
        <w:rPr>
          <w:b/>
          <w:bCs/>
          <w:sz w:val="24"/>
          <w:szCs w:val="24"/>
        </w:rPr>
      </w:pPr>
      <w:r>
        <w:rPr>
          <w:b/>
          <w:bCs/>
          <w:sz w:val="24"/>
          <w:szCs w:val="24"/>
        </w:rPr>
        <w:t>3.2. Zabezpieczenie przewodów przed skutkami zwarć</w:t>
      </w:r>
    </w:p>
    <w:p w:rsidR="00177955" w:rsidRDefault="00177955">
      <w:pPr>
        <w:pStyle w:val="NormalIndent"/>
        <w:spacing w:after="60"/>
        <w:jc w:val="left"/>
        <w:rPr>
          <w:sz w:val="24"/>
          <w:szCs w:val="24"/>
        </w:rPr>
      </w:pPr>
      <w:r>
        <w:rPr>
          <w:sz w:val="24"/>
          <w:szCs w:val="24"/>
        </w:rPr>
        <w:t>Skuteczne zabezpieczenie przed cieplnymi skutkami prądów zwarciowych powinno zapewniać przerwanie prądu zwarciowego wcześniej niż wystąpi niebezpieczeństwo uszkodzeń cieplnych i mechanicznych w przewodach, oraz ich połączeniach. Zabezpieczenia zwarciowe powinny być wykonywane z zastosowaniem bezpieczników lub wyłączników z wyzwalaczami zwarciowymi.</w:t>
      </w:r>
    </w:p>
    <w:p w:rsidR="00177955" w:rsidRDefault="00177955">
      <w:pPr>
        <w:pStyle w:val="NormalIndent"/>
        <w:spacing w:after="60"/>
        <w:jc w:val="left"/>
        <w:rPr>
          <w:sz w:val="24"/>
          <w:szCs w:val="24"/>
        </w:rPr>
      </w:pPr>
      <w:r>
        <w:rPr>
          <w:sz w:val="24"/>
          <w:szCs w:val="24"/>
        </w:rPr>
        <w:t>Czas do przerwania prądu zwarciowego powinien być tak krótki, aby temperatura żył przewodów nie przekroczyła wartości granicznej dopuszczalnej dla danego typu przewodów.</w:t>
      </w:r>
    </w:p>
    <w:p w:rsidR="00177955" w:rsidRDefault="00177955">
      <w:pPr>
        <w:pStyle w:val="NormalIndent"/>
        <w:spacing w:after="60"/>
        <w:ind w:firstLine="360"/>
        <w:jc w:val="left"/>
        <w:rPr>
          <w:sz w:val="24"/>
          <w:szCs w:val="24"/>
        </w:rPr>
      </w:pPr>
      <w:r>
        <w:rPr>
          <w:sz w:val="24"/>
          <w:szCs w:val="24"/>
        </w:rPr>
        <w:t xml:space="preserve">Wartość graniczną tego czasu, w sekundach wyznacza się ze wzoru: t = (k </w:t>
      </w:r>
      <w:r>
        <w:rPr>
          <w:position w:val="-30"/>
          <w:sz w:val="20"/>
          <w:szCs w:val="20"/>
        </w:rPr>
        <w:object w:dxaOrig="4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3.75pt" o:ole="" fillcolor="window">
            <v:imagedata r:id="rId7" o:title=""/>
          </v:shape>
          <o:OLEObject Type="Embed" ProgID="Equation.3" ShapeID="_x0000_i1025" DrawAspect="Content" ObjectID="_1671697919" r:id="rId8"/>
        </w:object>
      </w:r>
    </w:p>
    <w:p w:rsidR="00177955" w:rsidRDefault="00177955">
      <w:pPr>
        <w:pStyle w:val="NormalIndent"/>
        <w:spacing w:after="60"/>
        <w:ind w:firstLine="360"/>
        <w:jc w:val="left"/>
        <w:rPr>
          <w:sz w:val="24"/>
          <w:szCs w:val="24"/>
        </w:rPr>
      </w:pPr>
      <w:r>
        <w:rPr>
          <w:sz w:val="24"/>
          <w:szCs w:val="24"/>
        </w:rPr>
        <w:t>Gdzie:</w:t>
      </w:r>
    </w:p>
    <w:p w:rsidR="00177955" w:rsidRDefault="00177955">
      <w:pPr>
        <w:pStyle w:val="NormalIndent"/>
        <w:numPr>
          <w:ilvl w:val="0"/>
          <w:numId w:val="20"/>
        </w:numPr>
        <w:spacing w:after="60"/>
        <w:jc w:val="left"/>
        <w:rPr>
          <w:sz w:val="24"/>
          <w:szCs w:val="24"/>
        </w:rPr>
      </w:pPr>
      <w:r>
        <w:rPr>
          <w:sz w:val="24"/>
          <w:szCs w:val="24"/>
        </w:rPr>
        <w:t>s – przekrój przewodu w mm</w:t>
      </w:r>
      <w:r>
        <w:rPr>
          <w:sz w:val="24"/>
          <w:szCs w:val="24"/>
          <w:vertAlign w:val="superscript"/>
        </w:rPr>
        <w:t>2</w:t>
      </w:r>
      <w:r>
        <w:rPr>
          <w:sz w:val="24"/>
          <w:szCs w:val="24"/>
        </w:rPr>
        <w:t>,</w:t>
      </w:r>
    </w:p>
    <w:p w:rsidR="00177955" w:rsidRDefault="00177955">
      <w:pPr>
        <w:pStyle w:val="NormalIndent"/>
        <w:numPr>
          <w:ilvl w:val="0"/>
          <w:numId w:val="20"/>
        </w:numPr>
        <w:spacing w:after="60"/>
        <w:jc w:val="left"/>
        <w:rPr>
          <w:sz w:val="24"/>
          <w:szCs w:val="24"/>
        </w:rPr>
      </w:pPr>
      <w:r>
        <w:rPr>
          <w:sz w:val="24"/>
          <w:szCs w:val="24"/>
        </w:rPr>
        <w:t>k – współczynnik zależny od właściwości materiałów przewodzących i izolacyjnych zamieszczony w normie PN-HD 60364-4-43:2012P, “Instalacje elektryczne niskiego napięcia – Część  4-43: Ochrona przed prądem przetężeniowym”</w:t>
      </w:r>
    </w:p>
    <w:p w:rsidR="00177955" w:rsidRDefault="00177955">
      <w:pPr>
        <w:pStyle w:val="NormalIndent"/>
        <w:numPr>
          <w:ilvl w:val="0"/>
          <w:numId w:val="20"/>
        </w:numPr>
        <w:spacing w:after="60"/>
        <w:jc w:val="left"/>
        <w:rPr>
          <w:sz w:val="24"/>
          <w:szCs w:val="24"/>
        </w:rPr>
      </w:pPr>
      <w:r>
        <w:rPr>
          <w:sz w:val="24"/>
          <w:szCs w:val="24"/>
        </w:rPr>
        <w:t>I</w:t>
      </w:r>
      <w:r>
        <w:rPr>
          <w:sz w:val="24"/>
          <w:szCs w:val="24"/>
          <w:vertAlign w:val="subscript"/>
        </w:rPr>
        <w:t>k</w:t>
      </w:r>
      <w:r>
        <w:rPr>
          <w:sz w:val="24"/>
          <w:szCs w:val="24"/>
        </w:rPr>
        <w:t xml:space="preserve"> - prąd zwarciowy (wartość skuteczna składowej okresowej początkowej prądu zwarciowego).</w:t>
      </w:r>
    </w:p>
    <w:p w:rsidR="00177955" w:rsidRDefault="00177955">
      <w:pPr>
        <w:pStyle w:val="NormalIndent"/>
        <w:spacing w:after="60"/>
        <w:jc w:val="left"/>
        <w:rPr>
          <w:sz w:val="24"/>
          <w:szCs w:val="24"/>
        </w:rPr>
      </w:pPr>
      <w:r>
        <w:rPr>
          <w:sz w:val="24"/>
          <w:szCs w:val="24"/>
        </w:rPr>
        <w:t>Dla bezpieczników rzeczywisty czas trwania zwarcia t</w:t>
      </w:r>
      <w:r>
        <w:rPr>
          <w:sz w:val="24"/>
          <w:szCs w:val="24"/>
          <w:vertAlign w:val="subscript"/>
        </w:rPr>
        <w:t>k</w:t>
      </w:r>
      <w:r>
        <w:rPr>
          <w:sz w:val="24"/>
          <w:szCs w:val="24"/>
        </w:rPr>
        <w:t xml:space="preserve"> wyznacza się z ich charakterystyk pasmowych, czasowo-prądowych i jest on zależny od wartości prądu zwarcia. Im większy prąd, tym szybsze przerwanie obwodu przez przepalenie bezpiecznika. Dla wyłączników czas ten zwykle nie przekracza 0,1 s, jeżeli prąd zwarciowy jest większy od prądu wyzwalającego wyzwalaczy zwarciowych. W wielu przypadkach czas ten jest znacznie krótszy i wynosi 20 do 40 ms.</w:t>
      </w:r>
    </w:p>
    <w:p w:rsidR="00177955" w:rsidRDefault="00177955">
      <w:pPr>
        <w:pStyle w:val="NormalIndent"/>
        <w:spacing w:after="60"/>
        <w:jc w:val="left"/>
        <w:rPr>
          <w:sz w:val="24"/>
          <w:szCs w:val="24"/>
        </w:rPr>
      </w:pPr>
      <w:r>
        <w:rPr>
          <w:sz w:val="24"/>
          <w:szCs w:val="24"/>
        </w:rPr>
        <w:t>Jako prąd zadziałania bezpieczników w wymaganym czasie należy przyjmować wartości z górnej krzywej charakterystyki pasmowej czasowo-prądowej bezpiecznika.</w:t>
      </w:r>
      <w:r>
        <w:rPr>
          <w:sz w:val="24"/>
          <w:szCs w:val="24"/>
        </w:rPr>
        <w:br/>
        <w:t xml:space="preserve">Na rysunkach 3.1. i 3.2. przedstawiono charakterystyki bezpiecznika topikowego </w:t>
      </w:r>
      <w:r>
        <w:rPr>
          <w:sz w:val="24"/>
          <w:szCs w:val="24"/>
        </w:rPr>
        <w:br/>
        <w:t xml:space="preserve">Bi-Wts 20 A, oraz wyłączników namiarowo prądowych B, C D. </w:t>
      </w:r>
    </w:p>
    <w:p w:rsidR="00177955" w:rsidRDefault="00177955">
      <w:pPr>
        <w:pStyle w:val="NormalIndent"/>
        <w:spacing w:after="60"/>
        <w:ind w:firstLine="0"/>
        <w:jc w:val="center"/>
        <w:rPr>
          <w:sz w:val="24"/>
          <w:szCs w:val="24"/>
        </w:rPr>
      </w:pPr>
      <w:r>
        <w:rPr>
          <w:noProof/>
          <w:sz w:val="20"/>
          <w:szCs w:val="20"/>
        </w:rPr>
        <w:pict>
          <v:shape id="Obraz 3" o:spid="_x0000_i1026" type="#_x0000_t75" style="width:338.25pt;height:390pt;visibility:visible" fillcolor="window">
            <v:imagedata r:id="rId9" o:title=""/>
          </v:shape>
        </w:pict>
      </w:r>
    </w:p>
    <w:p w:rsidR="00177955" w:rsidRDefault="00177955">
      <w:pPr>
        <w:pStyle w:val="NormalIndent"/>
        <w:spacing w:after="60"/>
        <w:ind w:firstLine="0"/>
        <w:jc w:val="center"/>
        <w:rPr>
          <w:sz w:val="24"/>
          <w:szCs w:val="24"/>
        </w:rPr>
      </w:pPr>
      <w:r>
        <w:rPr>
          <w:sz w:val="24"/>
          <w:szCs w:val="24"/>
        </w:rPr>
        <w:t>Rys. 3.1. Charakterystyka pasmowa wkładki topikowej Bi-Wts 20 A</w:t>
      </w:r>
    </w:p>
    <w:p w:rsidR="00177955" w:rsidRDefault="00177955">
      <w:pPr>
        <w:pStyle w:val="NormalIndent"/>
        <w:spacing w:after="60"/>
        <w:jc w:val="left"/>
      </w:pPr>
      <w:r>
        <w:rPr>
          <w:noProof/>
          <w:sz w:val="20"/>
          <w:szCs w:val="20"/>
        </w:rPr>
        <w:pict>
          <v:shape id="Obraz 2" o:spid="_x0000_i1027" type="#_x0000_t75" style="width:331.5pt;height:339pt;visibility:visible" fillcolor="window">
            <v:imagedata r:id="rId10" o:title=""/>
          </v:shape>
        </w:pict>
      </w:r>
    </w:p>
    <w:p w:rsidR="00177955" w:rsidRDefault="00177955">
      <w:pPr>
        <w:pStyle w:val="NormalIndent"/>
        <w:spacing w:after="60"/>
        <w:jc w:val="left"/>
        <w:rPr>
          <w:sz w:val="24"/>
          <w:szCs w:val="24"/>
        </w:rPr>
      </w:pPr>
      <w:r>
        <w:rPr>
          <w:sz w:val="24"/>
          <w:szCs w:val="24"/>
        </w:rPr>
        <w:t>Rys. 3.2. Charakterystyki B, C, D wyłączników nadmiarowoprądowych</w:t>
      </w:r>
    </w:p>
    <w:p w:rsidR="00177955" w:rsidRDefault="00177955">
      <w:pPr>
        <w:pStyle w:val="NormalIndent"/>
        <w:spacing w:after="60"/>
        <w:ind w:left="426" w:hanging="360"/>
        <w:jc w:val="left"/>
        <w:rPr>
          <w:b/>
          <w:bCs/>
          <w:sz w:val="24"/>
          <w:szCs w:val="24"/>
        </w:rPr>
      </w:pPr>
      <w:r>
        <w:rPr>
          <w:b/>
          <w:bCs/>
          <w:sz w:val="24"/>
          <w:szCs w:val="24"/>
        </w:rPr>
        <w:t>3.3.  Warunki selektywnego działania zabezpieczeń przeciążeniowych w instalacjach elektrycznych</w:t>
      </w:r>
    </w:p>
    <w:p w:rsidR="00177955" w:rsidRDefault="00177955">
      <w:pPr>
        <w:pStyle w:val="NormalIndent"/>
        <w:spacing w:after="60"/>
        <w:jc w:val="left"/>
        <w:rPr>
          <w:sz w:val="24"/>
          <w:szCs w:val="24"/>
        </w:rPr>
      </w:pPr>
      <w:r>
        <w:rPr>
          <w:sz w:val="24"/>
          <w:szCs w:val="24"/>
        </w:rPr>
        <w:t xml:space="preserve">W sieciach i instalacjach elektrycznych stosuje się zazwyczaj, co najmniej kilka zabezpieczeń przetężeniowych, połączonych szeregowo. W przypadku zwarcia w dalszej części obwodu, prąd zwarciowy o takim samym natężeniu przepływa przez kilka urządzeń zabezpieczających. Zgodnie z wymaganiem rozporządzenia urządzenia zabezpieczające powinny działać selektywnie, tzn. w przypadku zakłóceń wywołujących przeciążenie powinno zadziałać </w:t>
      </w:r>
      <w:r>
        <w:rPr>
          <w:b/>
          <w:bCs/>
          <w:sz w:val="24"/>
          <w:szCs w:val="24"/>
        </w:rPr>
        <w:t>tylko jedno zabezpieczenie</w:t>
      </w:r>
      <w:r>
        <w:rPr>
          <w:sz w:val="24"/>
          <w:szCs w:val="24"/>
        </w:rPr>
        <w:t xml:space="preserve">, zainstalowane </w:t>
      </w:r>
      <w:r>
        <w:rPr>
          <w:b/>
          <w:bCs/>
          <w:sz w:val="24"/>
          <w:szCs w:val="24"/>
        </w:rPr>
        <w:t>najbliżej miejsca uszkodzenia</w:t>
      </w:r>
      <w:r>
        <w:rPr>
          <w:sz w:val="24"/>
          <w:szCs w:val="24"/>
        </w:rPr>
        <w:t>. Zadziałanie zabezpieczenia powinno wyeliminować uszkodzone urządzenie lub fragment obwodu, przy zachowaniu ciągłości zasilania urządzeń i obwodów nieuszkodzonych.</w:t>
      </w:r>
    </w:p>
    <w:p w:rsidR="00177955" w:rsidRDefault="00177955">
      <w:pPr>
        <w:pStyle w:val="NormalIndent"/>
        <w:spacing w:after="60"/>
        <w:jc w:val="left"/>
        <w:rPr>
          <w:sz w:val="24"/>
          <w:szCs w:val="24"/>
        </w:rPr>
      </w:pPr>
      <w:r>
        <w:rPr>
          <w:sz w:val="24"/>
          <w:szCs w:val="24"/>
        </w:rPr>
        <w:t>Zabezpieczenia przetężeniowe działają selektywnie, jeżeli ich charakterystyki pasmowe, prądowo-czasowe nie przecinają się ani nie mają wspólnych obszarów działania.</w:t>
      </w:r>
    </w:p>
    <w:p w:rsidR="00177955" w:rsidRDefault="00177955">
      <w:pPr>
        <w:pStyle w:val="NormalIndent"/>
        <w:spacing w:after="60"/>
        <w:jc w:val="left"/>
        <w:rPr>
          <w:sz w:val="24"/>
          <w:szCs w:val="24"/>
        </w:rPr>
      </w:pPr>
      <w:r>
        <w:rPr>
          <w:sz w:val="24"/>
          <w:szCs w:val="24"/>
        </w:rPr>
        <w:t>W odniesieniu do bezpieczników sprowadza się to do warunku, aby prądy znamionowe wkładek bezpiecznikowych kolejnych bezpieczników różniły się co najmniej o 2 stopnie, np. 25 i 50 A lub 63 i 100 A. Stosowanie bezpieczników różniących się o jeden stopień przeważnie nie zapewnia selektywności działania. Jedynie firma Siemens twierdzi, iż bezpieczniki ich produkcji różniące się o jeden stopień zapewniają selektywność działania.</w:t>
      </w:r>
    </w:p>
    <w:p w:rsidR="00177955" w:rsidRDefault="00177955">
      <w:pPr>
        <w:pStyle w:val="NormalIndent"/>
        <w:spacing w:after="60"/>
        <w:jc w:val="left"/>
        <w:rPr>
          <w:sz w:val="24"/>
          <w:szCs w:val="24"/>
        </w:rPr>
      </w:pPr>
      <w:r>
        <w:rPr>
          <w:sz w:val="24"/>
          <w:szCs w:val="24"/>
        </w:rPr>
        <w:t>Selektywność działania zabezpieczeń przeciążeniowych, przy zastosowaniu przekaźników i wyzwalaczy przeciążeniowych, termobimetalowych lub innych jest przeważnie łatwa do spełnienia, gdyż charakterystyki pasmowe tych urządzeń są stosunkowo wąskie. Wystarcza aby prądy nastawień zabezpieczeń były dostatecznie różne.</w:t>
      </w:r>
    </w:p>
    <w:p w:rsidR="00177955" w:rsidRDefault="00177955">
      <w:pPr>
        <w:pStyle w:val="NormalIndent"/>
        <w:spacing w:after="60"/>
        <w:jc w:val="left"/>
        <w:rPr>
          <w:sz w:val="24"/>
          <w:szCs w:val="24"/>
        </w:rPr>
      </w:pPr>
      <w:r>
        <w:rPr>
          <w:sz w:val="24"/>
          <w:szCs w:val="24"/>
        </w:rPr>
        <w:t>Szczególnie trudne są sytuacje dla zabezpieczeń zwarciowych, wykonanych z zastosowaniem samoczynnych wyłączników instalacyjnych i silnikowych, gdyż w tym przypadku selektywność działania nie jest zachowana. Bo wszystkie wyłączniki reagują w krótkim czasie, co uniemożliwia uzyskanie selektywności.</w:t>
      </w:r>
    </w:p>
    <w:p w:rsidR="00177955" w:rsidRDefault="00177955">
      <w:pPr>
        <w:pStyle w:val="NormalIndent"/>
        <w:spacing w:after="60"/>
        <w:jc w:val="left"/>
        <w:rPr>
          <w:sz w:val="24"/>
          <w:szCs w:val="24"/>
        </w:rPr>
      </w:pPr>
      <w:r>
        <w:rPr>
          <w:sz w:val="24"/>
          <w:szCs w:val="24"/>
        </w:rPr>
        <w:t>W przypadku wyłączników z wyzwalaczami zwarciowymi selektywność jest zachowana, tylko w przypadku szeregowego połączenia bezpiecznika z wyłącznikiem o działaniu szybkim, lub wyłącznika o działaniu zwłocznym z wyłącznikiem o działaniu szybkim.</w:t>
      </w:r>
    </w:p>
    <w:p w:rsidR="00177955" w:rsidRDefault="00177955">
      <w:pPr>
        <w:pStyle w:val="NormalIndent"/>
        <w:spacing w:after="60"/>
        <w:ind w:firstLine="0"/>
        <w:jc w:val="left"/>
        <w:rPr>
          <w:b/>
          <w:bCs/>
          <w:sz w:val="24"/>
          <w:szCs w:val="24"/>
        </w:rPr>
      </w:pPr>
      <w:r>
        <w:rPr>
          <w:b/>
          <w:bCs/>
          <w:noProof/>
          <w:sz w:val="20"/>
          <w:szCs w:val="20"/>
        </w:rPr>
        <w:pict>
          <v:shape id="_x0000_i1028" type="#_x0000_t75" alt="Układ poł i char czas-prąd zab przetęż" style="width:453.75pt;height:180pt;visibility:visible" fillcolor="window">
            <v:imagedata r:id="rId11" o:title="" croptop="5888f"/>
          </v:shape>
        </w:pict>
      </w:r>
    </w:p>
    <w:p w:rsidR="00177955" w:rsidRDefault="00177955">
      <w:pPr>
        <w:pStyle w:val="NormalIndent"/>
        <w:jc w:val="left"/>
        <w:rPr>
          <w:sz w:val="24"/>
          <w:szCs w:val="24"/>
        </w:rPr>
      </w:pPr>
      <w:r>
        <w:rPr>
          <w:sz w:val="24"/>
          <w:szCs w:val="24"/>
        </w:rPr>
        <w:t>Rys. 3.3 Układ połączeń i charakterystyki czasowo-prądowe zabezpieczeń przetężeniowych przy których są spełnione warunki selektywności zabezpieczeń.</w:t>
      </w:r>
    </w:p>
    <w:p w:rsidR="00177955" w:rsidRDefault="00177955">
      <w:pPr>
        <w:pStyle w:val="NormalIndent"/>
        <w:jc w:val="left"/>
        <w:rPr>
          <w:b/>
          <w:bCs/>
          <w:sz w:val="24"/>
          <w:szCs w:val="24"/>
        </w:rPr>
      </w:pPr>
      <w:r>
        <w:rPr>
          <w:sz w:val="24"/>
          <w:szCs w:val="24"/>
        </w:rPr>
        <w:t xml:space="preserve">Należy zapewnić zasadę selektywności (wybiórczości) zabezpieczeń, polegającą na działaniu zabezpieczeń najbliższych miejsca uszkodzenia (zwarcia). Selektywne działanie zabezpieczeń polega na takim doborze kolejnych urządzeń zabezpieczających, aby przy zwarciu w instalacji w pierwszej kolejności zadziałało zabezpieczenie </w:t>
      </w:r>
      <w:r>
        <w:rPr>
          <w:b/>
          <w:bCs/>
          <w:sz w:val="24"/>
          <w:szCs w:val="24"/>
        </w:rPr>
        <w:t>położone najbliżej miejsca uszkodzenia</w:t>
      </w:r>
      <w:r>
        <w:rPr>
          <w:sz w:val="24"/>
          <w:szCs w:val="24"/>
        </w:rPr>
        <w:t xml:space="preserve"> (zwarcia). Aby urządzenia zabezpieczające działały w sposób selektywny, charakterystyki czasowo prądowe sąsiednich zabezpieczeń </w:t>
      </w:r>
      <w:r>
        <w:rPr>
          <w:b/>
          <w:bCs/>
          <w:sz w:val="24"/>
          <w:szCs w:val="24"/>
        </w:rPr>
        <w:t>nie mogą się przecinać, ani nie mogą mieć wspólnych obszarów działania.</w:t>
      </w:r>
    </w:p>
    <w:p w:rsidR="00177955" w:rsidRDefault="00177955">
      <w:pPr>
        <w:pStyle w:val="NormalIndent"/>
        <w:jc w:val="left"/>
        <w:rPr>
          <w:sz w:val="24"/>
          <w:szCs w:val="24"/>
        </w:rPr>
      </w:pPr>
      <w:r>
        <w:rPr>
          <w:sz w:val="24"/>
          <w:szCs w:val="24"/>
        </w:rPr>
        <w:t>Przy stosowaniu bezpieczników topikowych selektywność jest zachowana, jeżeli stosunek prądów znamionowych kolejno występujących szeregowo wkładek bezpiecznikowych wynosi co najmniej 1,6.</w:t>
      </w:r>
    </w:p>
    <w:p w:rsidR="00177955" w:rsidRDefault="00177955">
      <w:pPr>
        <w:pStyle w:val="NormalIndent"/>
        <w:jc w:val="left"/>
        <w:rPr>
          <w:sz w:val="24"/>
          <w:szCs w:val="24"/>
        </w:rPr>
      </w:pPr>
    </w:p>
    <w:p w:rsidR="00177955" w:rsidRDefault="00177955">
      <w:pPr>
        <w:pStyle w:val="Default"/>
        <w:spacing w:after="120"/>
        <w:rPr>
          <w:b/>
          <w:bCs/>
        </w:rPr>
      </w:pPr>
      <w:r>
        <w:rPr>
          <w:b/>
          <w:bCs/>
        </w:rPr>
        <w:t>4. Skuteczność ochrony przeciwporażeniowej, w instalacjach z wyłącznikami nadmiarowoprądowymi</w:t>
      </w:r>
    </w:p>
    <w:p w:rsidR="00177955" w:rsidRDefault="00177955">
      <w:r>
        <w:t xml:space="preserve">Ochrona przeciwporażeniowa przez samoczynne wyłączanie zasilania w sieci TN, jest skuteczna, jeżeli podczas zwarcia L-PE (L-PEN): nastąpi wyłączenie zasilania w wymaganym przez normę czasie, lub w sieci TT nie będą przekroczone napięcia dotykowe dopuszczalne długotrwale. </w:t>
      </w:r>
    </w:p>
    <w:p w:rsidR="00177955" w:rsidRDefault="00177955">
      <w:r>
        <w:t xml:space="preserve">Największe dopuszczalne czasy wyłączania zasilania w sieci TN podje tabela 4.1. </w:t>
      </w:r>
    </w:p>
    <w:p w:rsidR="00177955" w:rsidRDefault="00177955">
      <w:r>
        <w:t>Tabela 4.1. Maksymalne czasy wyłączenia dla normalnych warunków środowiskowych</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79"/>
        <w:gridCol w:w="571"/>
        <w:gridCol w:w="2344"/>
        <w:gridCol w:w="1087"/>
        <w:gridCol w:w="1087"/>
        <w:gridCol w:w="1080"/>
        <w:gridCol w:w="1080"/>
        <w:gridCol w:w="720"/>
        <w:gridCol w:w="720"/>
      </w:tblGrid>
      <w:tr w:rsidR="00177955">
        <w:tblPrEx>
          <w:tblCellMar>
            <w:top w:w="0" w:type="dxa"/>
            <w:bottom w:w="0" w:type="dxa"/>
          </w:tblCellMar>
        </w:tblPrEx>
        <w:trPr>
          <w:jc w:val="center"/>
        </w:trPr>
        <w:tc>
          <w:tcPr>
            <w:tcW w:w="779" w:type="dxa"/>
            <w:tcBorders>
              <w:top w:val="single" w:sz="12" w:space="0" w:color="auto"/>
            </w:tcBorders>
          </w:tcPr>
          <w:p w:rsidR="00177955" w:rsidRDefault="00177955">
            <w:pPr>
              <w:jc w:val="center"/>
            </w:pPr>
            <w:r>
              <w:rPr>
                <w:sz w:val="22"/>
                <w:szCs w:val="22"/>
              </w:rPr>
              <w:t>Układ</w:t>
            </w:r>
            <w:r>
              <w:rPr>
                <w:sz w:val="22"/>
                <w:szCs w:val="22"/>
              </w:rPr>
              <w:br/>
              <w:t>sieci</w:t>
            </w:r>
          </w:p>
        </w:tc>
        <w:tc>
          <w:tcPr>
            <w:tcW w:w="2915" w:type="dxa"/>
            <w:gridSpan w:val="2"/>
            <w:tcBorders>
              <w:top w:val="single" w:sz="12" w:space="0" w:color="auto"/>
            </w:tcBorders>
          </w:tcPr>
          <w:p w:rsidR="00177955" w:rsidRDefault="00177955">
            <w:pPr>
              <w:jc w:val="center"/>
            </w:pPr>
            <w:r>
              <w:rPr>
                <w:sz w:val="22"/>
                <w:szCs w:val="22"/>
              </w:rPr>
              <w:t>50 V&lt; U</w:t>
            </w:r>
            <w:r>
              <w:rPr>
                <w:sz w:val="22"/>
                <w:szCs w:val="22"/>
                <w:vertAlign w:val="subscript"/>
              </w:rPr>
              <w:t xml:space="preserve">o </w:t>
            </w:r>
            <w:r>
              <w:rPr>
                <w:sz w:val="22"/>
                <w:szCs w:val="22"/>
              </w:rPr>
              <w:t>≤ 120 V</w:t>
            </w:r>
            <w:r>
              <w:rPr>
                <w:sz w:val="22"/>
                <w:szCs w:val="22"/>
              </w:rPr>
              <w:br/>
              <w:t>s</w:t>
            </w:r>
          </w:p>
        </w:tc>
        <w:tc>
          <w:tcPr>
            <w:tcW w:w="2174" w:type="dxa"/>
            <w:gridSpan w:val="2"/>
            <w:tcBorders>
              <w:top w:val="single" w:sz="12" w:space="0" w:color="auto"/>
            </w:tcBorders>
          </w:tcPr>
          <w:p w:rsidR="00177955" w:rsidRDefault="00177955">
            <w:pPr>
              <w:jc w:val="center"/>
            </w:pPr>
            <w:r>
              <w:rPr>
                <w:sz w:val="22"/>
                <w:szCs w:val="22"/>
              </w:rPr>
              <w:t>120 V&lt; U</w:t>
            </w:r>
            <w:r>
              <w:rPr>
                <w:sz w:val="22"/>
                <w:szCs w:val="22"/>
                <w:vertAlign w:val="subscript"/>
              </w:rPr>
              <w:t xml:space="preserve">o </w:t>
            </w:r>
            <w:r>
              <w:rPr>
                <w:sz w:val="22"/>
                <w:szCs w:val="22"/>
              </w:rPr>
              <w:t>≤ 230 V</w:t>
            </w:r>
            <w:r>
              <w:rPr>
                <w:sz w:val="22"/>
                <w:szCs w:val="22"/>
              </w:rPr>
              <w:br/>
              <w:t>s</w:t>
            </w:r>
          </w:p>
        </w:tc>
        <w:tc>
          <w:tcPr>
            <w:tcW w:w="2160" w:type="dxa"/>
            <w:gridSpan w:val="2"/>
            <w:tcBorders>
              <w:top w:val="single" w:sz="12" w:space="0" w:color="auto"/>
            </w:tcBorders>
          </w:tcPr>
          <w:p w:rsidR="00177955" w:rsidRDefault="00177955">
            <w:pPr>
              <w:jc w:val="center"/>
            </w:pPr>
            <w:r>
              <w:rPr>
                <w:sz w:val="22"/>
                <w:szCs w:val="22"/>
              </w:rPr>
              <w:t>230 V&lt; U</w:t>
            </w:r>
            <w:r>
              <w:rPr>
                <w:sz w:val="22"/>
                <w:szCs w:val="22"/>
                <w:vertAlign w:val="subscript"/>
              </w:rPr>
              <w:t xml:space="preserve">o </w:t>
            </w:r>
            <w:r>
              <w:rPr>
                <w:sz w:val="22"/>
                <w:szCs w:val="22"/>
              </w:rPr>
              <w:t>≤ 400 V</w:t>
            </w:r>
            <w:r>
              <w:rPr>
                <w:sz w:val="22"/>
                <w:szCs w:val="22"/>
              </w:rPr>
              <w:br/>
              <w:t>s</w:t>
            </w:r>
          </w:p>
        </w:tc>
        <w:tc>
          <w:tcPr>
            <w:tcW w:w="1440" w:type="dxa"/>
            <w:gridSpan w:val="2"/>
            <w:tcBorders>
              <w:top w:val="single" w:sz="12" w:space="0" w:color="auto"/>
            </w:tcBorders>
          </w:tcPr>
          <w:p w:rsidR="00177955" w:rsidRDefault="00177955">
            <w:pPr>
              <w:jc w:val="center"/>
            </w:pPr>
            <w:r>
              <w:rPr>
                <w:sz w:val="22"/>
                <w:szCs w:val="22"/>
              </w:rPr>
              <w:t>U</w:t>
            </w:r>
            <w:r>
              <w:rPr>
                <w:sz w:val="22"/>
                <w:szCs w:val="22"/>
                <w:vertAlign w:val="subscript"/>
              </w:rPr>
              <w:t xml:space="preserve">o </w:t>
            </w:r>
            <w:r>
              <w:rPr>
                <w:sz w:val="22"/>
                <w:szCs w:val="22"/>
              </w:rPr>
              <w:t>&gt; 400 V</w:t>
            </w:r>
            <w:r>
              <w:rPr>
                <w:sz w:val="22"/>
                <w:szCs w:val="22"/>
              </w:rPr>
              <w:br/>
              <w:t>s</w:t>
            </w:r>
          </w:p>
        </w:tc>
      </w:tr>
      <w:tr w:rsidR="00177955">
        <w:tblPrEx>
          <w:tblCellMar>
            <w:top w:w="0" w:type="dxa"/>
            <w:bottom w:w="0" w:type="dxa"/>
          </w:tblCellMar>
        </w:tblPrEx>
        <w:trPr>
          <w:jc w:val="center"/>
        </w:trPr>
        <w:tc>
          <w:tcPr>
            <w:tcW w:w="779" w:type="dxa"/>
          </w:tcPr>
          <w:p w:rsidR="00177955" w:rsidRDefault="00177955">
            <w:pPr>
              <w:jc w:val="center"/>
            </w:pPr>
          </w:p>
        </w:tc>
        <w:tc>
          <w:tcPr>
            <w:tcW w:w="571" w:type="dxa"/>
          </w:tcPr>
          <w:p w:rsidR="00177955" w:rsidRDefault="00177955">
            <w:r>
              <w:rPr>
                <w:sz w:val="22"/>
                <w:szCs w:val="22"/>
              </w:rPr>
              <w:t>a.c.</w:t>
            </w:r>
          </w:p>
        </w:tc>
        <w:tc>
          <w:tcPr>
            <w:tcW w:w="2344" w:type="dxa"/>
          </w:tcPr>
          <w:p w:rsidR="00177955" w:rsidRDefault="00177955">
            <w:pPr>
              <w:jc w:val="center"/>
            </w:pPr>
            <w:r>
              <w:rPr>
                <w:sz w:val="22"/>
                <w:szCs w:val="22"/>
              </w:rPr>
              <w:t>d.c.</w:t>
            </w:r>
          </w:p>
        </w:tc>
        <w:tc>
          <w:tcPr>
            <w:tcW w:w="1087" w:type="dxa"/>
          </w:tcPr>
          <w:p w:rsidR="00177955" w:rsidRDefault="00177955">
            <w:pPr>
              <w:jc w:val="center"/>
            </w:pPr>
            <w:r>
              <w:rPr>
                <w:sz w:val="22"/>
                <w:szCs w:val="22"/>
              </w:rPr>
              <w:t>a.c.</w:t>
            </w:r>
          </w:p>
        </w:tc>
        <w:tc>
          <w:tcPr>
            <w:tcW w:w="1087" w:type="dxa"/>
          </w:tcPr>
          <w:p w:rsidR="00177955" w:rsidRDefault="00177955">
            <w:pPr>
              <w:jc w:val="center"/>
            </w:pPr>
            <w:r>
              <w:rPr>
                <w:sz w:val="22"/>
                <w:szCs w:val="22"/>
              </w:rPr>
              <w:t>d.c.</w:t>
            </w:r>
          </w:p>
        </w:tc>
        <w:tc>
          <w:tcPr>
            <w:tcW w:w="1080" w:type="dxa"/>
          </w:tcPr>
          <w:p w:rsidR="00177955" w:rsidRDefault="00177955">
            <w:pPr>
              <w:jc w:val="center"/>
            </w:pPr>
            <w:r>
              <w:rPr>
                <w:sz w:val="22"/>
                <w:szCs w:val="22"/>
              </w:rPr>
              <w:t>a.c.</w:t>
            </w:r>
          </w:p>
        </w:tc>
        <w:tc>
          <w:tcPr>
            <w:tcW w:w="1080" w:type="dxa"/>
          </w:tcPr>
          <w:p w:rsidR="00177955" w:rsidRDefault="00177955">
            <w:pPr>
              <w:jc w:val="center"/>
            </w:pPr>
            <w:r>
              <w:rPr>
                <w:sz w:val="22"/>
                <w:szCs w:val="22"/>
              </w:rPr>
              <w:t>d.c.</w:t>
            </w:r>
          </w:p>
        </w:tc>
        <w:tc>
          <w:tcPr>
            <w:tcW w:w="720" w:type="dxa"/>
          </w:tcPr>
          <w:p w:rsidR="00177955" w:rsidRDefault="00177955">
            <w:pPr>
              <w:jc w:val="center"/>
            </w:pPr>
            <w:r>
              <w:rPr>
                <w:sz w:val="22"/>
                <w:szCs w:val="22"/>
              </w:rPr>
              <w:t>a.c.</w:t>
            </w:r>
          </w:p>
        </w:tc>
        <w:tc>
          <w:tcPr>
            <w:tcW w:w="720" w:type="dxa"/>
          </w:tcPr>
          <w:p w:rsidR="00177955" w:rsidRDefault="00177955">
            <w:pPr>
              <w:jc w:val="center"/>
            </w:pPr>
            <w:r>
              <w:rPr>
                <w:sz w:val="22"/>
                <w:szCs w:val="22"/>
              </w:rPr>
              <w:t>d.c.</w:t>
            </w:r>
          </w:p>
        </w:tc>
      </w:tr>
      <w:tr w:rsidR="00177955">
        <w:tblPrEx>
          <w:tblCellMar>
            <w:top w:w="0" w:type="dxa"/>
            <w:bottom w:w="0" w:type="dxa"/>
          </w:tblCellMar>
        </w:tblPrEx>
        <w:trPr>
          <w:cantSplit/>
          <w:jc w:val="center"/>
        </w:trPr>
        <w:tc>
          <w:tcPr>
            <w:tcW w:w="779" w:type="dxa"/>
            <w:vAlign w:val="center"/>
          </w:tcPr>
          <w:p w:rsidR="00177955" w:rsidRDefault="00177955">
            <w:pPr>
              <w:jc w:val="center"/>
            </w:pPr>
            <w:r>
              <w:rPr>
                <w:sz w:val="22"/>
                <w:szCs w:val="22"/>
              </w:rPr>
              <w:t>TN</w:t>
            </w:r>
          </w:p>
        </w:tc>
        <w:tc>
          <w:tcPr>
            <w:tcW w:w="571" w:type="dxa"/>
            <w:vAlign w:val="center"/>
          </w:tcPr>
          <w:p w:rsidR="00177955" w:rsidRDefault="00177955">
            <w:r>
              <w:rPr>
                <w:sz w:val="22"/>
                <w:szCs w:val="22"/>
              </w:rPr>
              <w:t>0,8</w:t>
            </w:r>
          </w:p>
        </w:tc>
        <w:tc>
          <w:tcPr>
            <w:tcW w:w="2344" w:type="dxa"/>
            <w:vMerge w:val="restart"/>
            <w:vAlign w:val="center"/>
          </w:tcPr>
          <w:p w:rsidR="00177955" w:rsidRDefault="00177955">
            <w:pPr>
              <w:rPr>
                <w:sz w:val="20"/>
                <w:szCs w:val="20"/>
              </w:rPr>
            </w:pPr>
            <w:r>
              <w:rPr>
                <w:sz w:val="20"/>
                <w:szCs w:val="20"/>
              </w:rPr>
              <w:t>Wyłączenie może być wymagane z innych przyczyn niż ochrona przeciwporażeniowa</w:t>
            </w:r>
          </w:p>
        </w:tc>
        <w:tc>
          <w:tcPr>
            <w:tcW w:w="1087" w:type="dxa"/>
            <w:vAlign w:val="center"/>
          </w:tcPr>
          <w:p w:rsidR="00177955" w:rsidRDefault="00177955">
            <w:pPr>
              <w:jc w:val="center"/>
            </w:pPr>
            <w:r>
              <w:rPr>
                <w:sz w:val="22"/>
                <w:szCs w:val="22"/>
              </w:rPr>
              <w:t>0,4</w:t>
            </w:r>
          </w:p>
        </w:tc>
        <w:tc>
          <w:tcPr>
            <w:tcW w:w="1087" w:type="dxa"/>
            <w:vAlign w:val="center"/>
          </w:tcPr>
          <w:p w:rsidR="00177955" w:rsidRDefault="00177955">
            <w:pPr>
              <w:jc w:val="center"/>
            </w:pPr>
            <w:r>
              <w:rPr>
                <w:sz w:val="22"/>
                <w:szCs w:val="22"/>
              </w:rPr>
              <w:t>5</w:t>
            </w:r>
          </w:p>
        </w:tc>
        <w:tc>
          <w:tcPr>
            <w:tcW w:w="1080" w:type="dxa"/>
            <w:vAlign w:val="center"/>
          </w:tcPr>
          <w:p w:rsidR="00177955" w:rsidRDefault="00177955">
            <w:pPr>
              <w:jc w:val="center"/>
            </w:pPr>
            <w:r>
              <w:rPr>
                <w:sz w:val="22"/>
                <w:szCs w:val="22"/>
              </w:rPr>
              <w:t>0,2</w:t>
            </w:r>
          </w:p>
        </w:tc>
        <w:tc>
          <w:tcPr>
            <w:tcW w:w="1080" w:type="dxa"/>
            <w:vAlign w:val="center"/>
          </w:tcPr>
          <w:p w:rsidR="00177955" w:rsidRDefault="00177955">
            <w:pPr>
              <w:jc w:val="center"/>
            </w:pPr>
            <w:r>
              <w:rPr>
                <w:sz w:val="22"/>
                <w:szCs w:val="22"/>
              </w:rPr>
              <w:t>0,4</w:t>
            </w:r>
          </w:p>
        </w:tc>
        <w:tc>
          <w:tcPr>
            <w:tcW w:w="720" w:type="dxa"/>
            <w:vAlign w:val="center"/>
          </w:tcPr>
          <w:p w:rsidR="00177955" w:rsidRDefault="00177955">
            <w:pPr>
              <w:jc w:val="center"/>
            </w:pPr>
            <w:r>
              <w:rPr>
                <w:sz w:val="22"/>
                <w:szCs w:val="22"/>
              </w:rPr>
              <w:t>0,1</w:t>
            </w:r>
          </w:p>
        </w:tc>
        <w:tc>
          <w:tcPr>
            <w:tcW w:w="720" w:type="dxa"/>
            <w:vAlign w:val="center"/>
          </w:tcPr>
          <w:p w:rsidR="00177955" w:rsidRDefault="00177955">
            <w:pPr>
              <w:jc w:val="center"/>
            </w:pPr>
            <w:r>
              <w:rPr>
                <w:sz w:val="22"/>
                <w:szCs w:val="22"/>
              </w:rPr>
              <w:t>0,1</w:t>
            </w:r>
          </w:p>
        </w:tc>
      </w:tr>
      <w:tr w:rsidR="00177955">
        <w:tblPrEx>
          <w:tblCellMar>
            <w:top w:w="0" w:type="dxa"/>
            <w:bottom w:w="0" w:type="dxa"/>
          </w:tblCellMar>
        </w:tblPrEx>
        <w:trPr>
          <w:cantSplit/>
          <w:jc w:val="center"/>
        </w:trPr>
        <w:tc>
          <w:tcPr>
            <w:tcW w:w="779" w:type="dxa"/>
            <w:tcBorders>
              <w:bottom w:val="single" w:sz="12" w:space="0" w:color="auto"/>
            </w:tcBorders>
            <w:vAlign w:val="center"/>
          </w:tcPr>
          <w:p w:rsidR="00177955" w:rsidRDefault="00177955">
            <w:pPr>
              <w:jc w:val="center"/>
            </w:pPr>
            <w:r>
              <w:rPr>
                <w:sz w:val="22"/>
                <w:szCs w:val="22"/>
              </w:rPr>
              <w:t>TT</w:t>
            </w:r>
          </w:p>
        </w:tc>
        <w:tc>
          <w:tcPr>
            <w:tcW w:w="571" w:type="dxa"/>
            <w:tcBorders>
              <w:bottom w:val="single" w:sz="12" w:space="0" w:color="auto"/>
            </w:tcBorders>
            <w:vAlign w:val="center"/>
          </w:tcPr>
          <w:p w:rsidR="00177955" w:rsidRDefault="00177955">
            <w:r>
              <w:rPr>
                <w:sz w:val="22"/>
                <w:szCs w:val="22"/>
              </w:rPr>
              <w:t>0,3</w:t>
            </w:r>
          </w:p>
        </w:tc>
        <w:tc>
          <w:tcPr>
            <w:tcW w:w="2344" w:type="dxa"/>
            <w:vMerge/>
            <w:tcBorders>
              <w:bottom w:val="single" w:sz="12" w:space="0" w:color="auto"/>
            </w:tcBorders>
            <w:vAlign w:val="center"/>
          </w:tcPr>
          <w:p w:rsidR="00177955" w:rsidRDefault="00177955"/>
        </w:tc>
        <w:tc>
          <w:tcPr>
            <w:tcW w:w="1087" w:type="dxa"/>
            <w:tcBorders>
              <w:bottom w:val="single" w:sz="12" w:space="0" w:color="auto"/>
            </w:tcBorders>
            <w:vAlign w:val="center"/>
          </w:tcPr>
          <w:p w:rsidR="00177955" w:rsidRDefault="00177955">
            <w:pPr>
              <w:jc w:val="center"/>
            </w:pPr>
            <w:r>
              <w:rPr>
                <w:sz w:val="22"/>
                <w:szCs w:val="22"/>
              </w:rPr>
              <w:t>0,2</w:t>
            </w:r>
          </w:p>
        </w:tc>
        <w:tc>
          <w:tcPr>
            <w:tcW w:w="1087" w:type="dxa"/>
            <w:tcBorders>
              <w:bottom w:val="single" w:sz="12" w:space="0" w:color="auto"/>
            </w:tcBorders>
            <w:vAlign w:val="center"/>
          </w:tcPr>
          <w:p w:rsidR="00177955" w:rsidRDefault="00177955">
            <w:pPr>
              <w:jc w:val="center"/>
            </w:pPr>
            <w:r>
              <w:rPr>
                <w:sz w:val="22"/>
                <w:szCs w:val="22"/>
              </w:rPr>
              <w:t>0,4</w:t>
            </w:r>
          </w:p>
        </w:tc>
        <w:tc>
          <w:tcPr>
            <w:tcW w:w="1080" w:type="dxa"/>
            <w:tcBorders>
              <w:bottom w:val="single" w:sz="12" w:space="0" w:color="auto"/>
            </w:tcBorders>
            <w:vAlign w:val="center"/>
          </w:tcPr>
          <w:p w:rsidR="00177955" w:rsidRDefault="00177955">
            <w:pPr>
              <w:jc w:val="center"/>
            </w:pPr>
            <w:r>
              <w:rPr>
                <w:sz w:val="22"/>
                <w:szCs w:val="22"/>
              </w:rPr>
              <w:t>0,07</w:t>
            </w:r>
          </w:p>
        </w:tc>
        <w:tc>
          <w:tcPr>
            <w:tcW w:w="1080" w:type="dxa"/>
            <w:tcBorders>
              <w:bottom w:val="single" w:sz="12" w:space="0" w:color="auto"/>
            </w:tcBorders>
            <w:vAlign w:val="center"/>
          </w:tcPr>
          <w:p w:rsidR="00177955" w:rsidRDefault="00177955">
            <w:pPr>
              <w:jc w:val="center"/>
            </w:pPr>
            <w:r>
              <w:rPr>
                <w:sz w:val="22"/>
                <w:szCs w:val="22"/>
              </w:rPr>
              <w:t>0,2</w:t>
            </w:r>
          </w:p>
        </w:tc>
        <w:tc>
          <w:tcPr>
            <w:tcW w:w="720" w:type="dxa"/>
            <w:tcBorders>
              <w:bottom w:val="single" w:sz="12" w:space="0" w:color="auto"/>
            </w:tcBorders>
            <w:vAlign w:val="center"/>
          </w:tcPr>
          <w:p w:rsidR="00177955" w:rsidRDefault="00177955">
            <w:pPr>
              <w:jc w:val="center"/>
            </w:pPr>
            <w:r>
              <w:rPr>
                <w:sz w:val="22"/>
                <w:szCs w:val="22"/>
              </w:rPr>
              <w:t>0,04</w:t>
            </w:r>
          </w:p>
        </w:tc>
        <w:tc>
          <w:tcPr>
            <w:tcW w:w="720" w:type="dxa"/>
            <w:tcBorders>
              <w:bottom w:val="single" w:sz="12" w:space="0" w:color="auto"/>
            </w:tcBorders>
            <w:vAlign w:val="center"/>
          </w:tcPr>
          <w:p w:rsidR="00177955" w:rsidRDefault="00177955">
            <w:pPr>
              <w:jc w:val="center"/>
            </w:pPr>
            <w:r>
              <w:rPr>
                <w:sz w:val="22"/>
                <w:szCs w:val="22"/>
              </w:rPr>
              <w:t>0,1</w:t>
            </w:r>
          </w:p>
        </w:tc>
      </w:tr>
    </w:tbl>
    <w:p w:rsidR="00177955" w:rsidRDefault="00177955">
      <w:pPr>
        <w:pStyle w:val="Default"/>
        <w:spacing w:after="120"/>
        <w:rPr>
          <w:b/>
          <w:bCs/>
        </w:rPr>
      </w:pPr>
      <w:r>
        <w:rPr>
          <w:b/>
          <w:bCs/>
        </w:rPr>
        <w:br/>
        <w:t>Uwagi do tabeli 4.1.</w:t>
      </w:r>
    </w:p>
    <w:p w:rsidR="00177955" w:rsidRDefault="00177955">
      <w:pPr>
        <w:pStyle w:val="Default"/>
        <w:spacing w:after="120"/>
        <w:ind w:left="426" w:hanging="284"/>
      </w:pPr>
      <w:r>
        <w:t>4.1. Maksymalne czasy wyłączenia podane w tabeli powinny być stosowane w obwodach odbiorczych o prądzie znamionowym nieprzekraczającym 32 A, które zasilają bezpośrednio lub poprzez gniazda wtyczkowe urządzenia I klasy ochronności, stacjonarne łatwo dostępne, ręczne lub/i przenośne, przeznaczone do ręcznego przemieszczania podczas użytkowania.</w:t>
      </w:r>
    </w:p>
    <w:p w:rsidR="00177955" w:rsidRDefault="00177955">
      <w:pPr>
        <w:pStyle w:val="Default"/>
        <w:spacing w:after="120"/>
        <w:ind w:left="426" w:hanging="284"/>
      </w:pPr>
      <w:r>
        <w:t>4.2. Jeżeli w układzie sieci TT wyłączenie jest realizowane przez zabezpieczenia nadprądowe, a połączenia wyrównawcze ochronne są przyłączone do wszystkich dostępnych części przewodzących w obrębie instalacji, to mogą być stosowane maksymalne czasy wyłączenia właściwe dla układu sieci TN.</w:t>
      </w:r>
    </w:p>
    <w:p w:rsidR="00177955" w:rsidRDefault="00177955">
      <w:pPr>
        <w:pStyle w:val="Default"/>
        <w:spacing w:after="120"/>
        <w:ind w:left="426" w:hanging="284"/>
      </w:pPr>
      <w:r>
        <w:t>4.3. W układach sieci TN czas wyłączenia nieprzekraczający 5 s jest dopuszczony w obwodach rozdzielczych i w obwodach niewymienionych w pkt. 4.1.</w:t>
      </w:r>
    </w:p>
    <w:p w:rsidR="00177955" w:rsidRDefault="00177955">
      <w:pPr>
        <w:pStyle w:val="Default"/>
        <w:spacing w:after="120"/>
        <w:ind w:left="426" w:hanging="284"/>
      </w:pPr>
      <w:r>
        <w:t>4.4. W układach sieci TT czas wyłączenia nieprzekraczający 1 s jest dopuszczony w obwodach rozdzielczych i w obwodach niewymienionych w pkt. 4.1.</w:t>
      </w:r>
    </w:p>
    <w:p w:rsidR="00177955" w:rsidRDefault="00177955">
      <w:pPr>
        <w:pStyle w:val="Default"/>
        <w:spacing w:after="120"/>
        <w:ind w:left="426" w:hanging="284"/>
        <w:rPr>
          <w:b/>
          <w:bCs/>
        </w:rPr>
      </w:pPr>
      <w:r>
        <w:t xml:space="preserve">4.5. Jeżeli samoczynne wyłączenie zasilania nie może być uzyskane we właściwym czasie, to powinny być zastosowane </w:t>
      </w:r>
      <w:r>
        <w:rPr>
          <w:b/>
          <w:bCs/>
        </w:rPr>
        <w:t>dodatkowe ochronne połączenia wyrównawcze</w:t>
      </w:r>
      <w:r>
        <w:t xml:space="preserve">, zapewniające ochronę przez </w:t>
      </w:r>
      <w:r>
        <w:rPr>
          <w:b/>
          <w:bCs/>
        </w:rPr>
        <w:t>obniżenie napięcia dotykowego</w:t>
      </w:r>
      <w:r>
        <w:t xml:space="preserve">.   </w:t>
      </w:r>
    </w:p>
    <w:p w:rsidR="00177955" w:rsidRDefault="00177955">
      <w:pPr>
        <w:pStyle w:val="Default"/>
        <w:spacing w:after="120"/>
      </w:pPr>
      <w:r>
        <w:rPr>
          <w:b/>
          <w:bCs/>
        </w:rPr>
        <w:t xml:space="preserve">5. Skuteczność ochrony w instalacjach z urządzeniami różnicowoprądowymi </w:t>
      </w:r>
    </w:p>
    <w:p w:rsidR="00177955" w:rsidRDefault="00177955">
      <w:pPr>
        <w:pStyle w:val="Default"/>
        <w:spacing w:after="120"/>
      </w:pPr>
      <w:r>
        <w:t xml:space="preserve">Jednym z najbardziej skutecznych środków ochrony przeciwporażeniowej jest ochrona przy zastosowaniu urządzeń ochronnych różnicowoprądowych (wyłączniki ochronne różnicowoprądowe, wyłączniki współpracujące z przekaźnikami różnicowoprądowymi). </w:t>
      </w:r>
    </w:p>
    <w:p w:rsidR="00177955" w:rsidRDefault="00177955">
      <w:pPr>
        <w:pStyle w:val="Default"/>
        <w:spacing w:after="120"/>
      </w:pPr>
      <w:r>
        <w:t xml:space="preserve">W uziemionych sieciach elektrycznych istnieje możliwość aby prąd płynął od przewodu fazowego z powrotem do źródła przez ziemię, w przypadku uszkodzenia izolacji w odbiorniku lub w jego przewodach zasilających, jak również w przypadku dotknięcia przewodów pod napięciem przez człowieka mającego połączenie z ziemią. </w:t>
      </w:r>
    </w:p>
    <w:p w:rsidR="00177955" w:rsidRDefault="00177955">
      <w:pPr>
        <w:pStyle w:val="Default"/>
        <w:spacing w:after="120"/>
      </w:pPr>
      <w:r>
        <w:t xml:space="preserve">Prąd ten stwarza zagrożenie zdrowia a nawet życia dla ludzi i zwierząt, oraz zagrożenie zapalenia się elementów palnych w wyniku wydzielania się ciepła, z zamiany energii elektrycznej na cieplną. </w:t>
      </w:r>
    </w:p>
    <w:p w:rsidR="00177955" w:rsidRDefault="00177955">
      <w:pPr>
        <w:pStyle w:val="Default"/>
        <w:spacing w:after="120"/>
      </w:pPr>
      <w:r>
        <w:t xml:space="preserve">Wyłącznik ochronny różnicowoprądowy porównuje prądy dopływające i powracające w obwodzie odbiorczym, oraz rozpoznaje powstałą w razie uszkodzenia różnicę między tymi prądami, w wyniku płynącego do ziemi prądu różnicowego, czyli sprawdza czy suma prądów w obwodzie jest zbliżona do zera. Nie może on zapobiec wystąpieniu prądu różnicowego, lecz w przypadku wystąpienia zagrożeń dla ludzi, zwierząt lub powstania szkód materialnych, niezwłocznie usunie to zagrożenie poprzez szybkie wyłączenie wszystkich biegunów. Wyłącznik ochronny różnicowoprądowy zapobiega występowaniu niebezpiecznych napięć dotykowych na korpusach urządzeń I klasy ochronności. Gdy z powodu zwarcia z ziemią, zwiększonej upływności lub dotknięcia przewodu fazowego przez człowieka lub zwierzę różnica ta przekroczy wartość prądu uszkodzeniowego I (wyzwalającego wyłącznik), to wyłącznik odłącza uszkodzoną część. </w:t>
      </w:r>
    </w:p>
    <w:p w:rsidR="00177955" w:rsidRDefault="00177955">
      <w:pPr>
        <w:pStyle w:val="Default"/>
        <w:spacing w:after="120"/>
      </w:pPr>
      <w:r>
        <w:t>Na rysunku 5.1 przedstawiono budowę wyłącznika różnicowoprądowego.</w:t>
      </w:r>
    </w:p>
    <w:p w:rsidR="00177955" w:rsidRDefault="00177955">
      <w:pPr>
        <w:pStyle w:val="Default"/>
        <w:spacing w:after="120"/>
        <w:jc w:val="center"/>
      </w:pPr>
      <w:r>
        <w:rPr>
          <w:noProof/>
        </w:rPr>
        <w:pict>
          <v:shape id="Obraz 21" o:spid="_x0000_s1026" type="#_x0000_t75" alt="Budowa wył różn-prąd.jpg" style="position:absolute;left:0;text-align:left;margin-left:23.6pt;margin-top:2.8pt;width:245.25pt;height:241.5pt;z-index:251658240;visibility:visible;mso-position-horizontal-relative:text;mso-position-vertical-relative:text" o:allowincell="f">
            <v:imagedata r:id="rId12" o:title=""/>
            <w10:wrap type="square"/>
          </v:shape>
        </w:pict>
      </w:r>
      <w:r>
        <w:rPr>
          <w:noProof/>
        </w:rPr>
        <w:t>11</w:t>
      </w:r>
    </w:p>
    <w:p w:rsidR="00177955" w:rsidRDefault="00177955">
      <w:pPr>
        <w:pStyle w:val="Default"/>
        <w:numPr>
          <w:ilvl w:val="0"/>
          <w:numId w:val="24"/>
        </w:numPr>
        <w:spacing w:after="120"/>
      </w:pPr>
      <w:r>
        <w:t>A Urządzenie sprawdzające</w:t>
      </w:r>
    </w:p>
    <w:p w:rsidR="00177955" w:rsidRDefault="00177955">
      <w:pPr>
        <w:pStyle w:val="Default"/>
        <w:numPr>
          <w:ilvl w:val="0"/>
          <w:numId w:val="24"/>
        </w:numPr>
        <w:spacing w:after="120"/>
      </w:pPr>
      <w:r>
        <w:t>B Styki główne prądowe</w:t>
      </w:r>
    </w:p>
    <w:p w:rsidR="00177955" w:rsidRDefault="00177955">
      <w:pPr>
        <w:pStyle w:val="Default"/>
        <w:numPr>
          <w:ilvl w:val="0"/>
          <w:numId w:val="24"/>
        </w:numPr>
        <w:spacing w:after="120"/>
      </w:pPr>
      <w:r>
        <w:t>C Element łączący (zamek)</w:t>
      </w:r>
    </w:p>
    <w:p w:rsidR="00177955" w:rsidRDefault="00177955">
      <w:pPr>
        <w:pStyle w:val="Default"/>
        <w:numPr>
          <w:ilvl w:val="0"/>
          <w:numId w:val="24"/>
        </w:numPr>
        <w:spacing w:after="120"/>
      </w:pPr>
      <w:r>
        <w:t>D przekładnik sumujący</w:t>
      </w:r>
    </w:p>
    <w:p w:rsidR="00177955" w:rsidRDefault="00177955">
      <w:pPr>
        <w:pStyle w:val="Default"/>
        <w:numPr>
          <w:ilvl w:val="0"/>
          <w:numId w:val="24"/>
        </w:numPr>
        <w:spacing w:after="120"/>
      </w:pPr>
      <w:r>
        <w:t>E Wyzwalacz</w:t>
      </w:r>
    </w:p>
    <w:p w:rsidR="00177955" w:rsidRDefault="00177955">
      <w:pPr>
        <w:pStyle w:val="Default"/>
        <w:numPr>
          <w:ilvl w:val="0"/>
          <w:numId w:val="24"/>
        </w:numPr>
        <w:spacing w:after="120"/>
      </w:pPr>
      <w:r>
        <w:t>1. Przycisk obwodu testu</w:t>
      </w:r>
      <w:r>
        <w:br/>
        <w:t xml:space="preserve">           2. Rezystor obwodu testu</w:t>
      </w:r>
      <w:r>
        <w:br/>
        <w:t xml:space="preserve">           3. Rdzeń przekładnika</w:t>
      </w:r>
      <w:r>
        <w:br/>
        <w:t xml:space="preserve">           4. Uzwojenie wtórne</w:t>
      </w:r>
      <w:r>
        <w:br/>
        <w:t xml:space="preserve">           5. Uzwojenie wyzwalające</w:t>
      </w:r>
      <w:r>
        <w:br/>
        <w:t xml:space="preserve">           6. Zwora magnesu napięta </w:t>
      </w:r>
      <w:r>
        <w:br/>
        <w:t xml:space="preserve">               sprężyną</w:t>
      </w:r>
      <w:r>
        <w:br/>
        <w:t xml:space="preserve">           7. Magnes stały</w:t>
      </w:r>
    </w:p>
    <w:p w:rsidR="00177955" w:rsidRDefault="00177955">
      <w:pPr>
        <w:pStyle w:val="Default"/>
        <w:spacing w:after="120"/>
        <w:jc w:val="center"/>
      </w:pPr>
    </w:p>
    <w:p w:rsidR="00177955" w:rsidRDefault="00177955">
      <w:pPr>
        <w:pStyle w:val="Default"/>
        <w:spacing w:after="120"/>
        <w:jc w:val="center"/>
      </w:pPr>
      <w:r>
        <w:t>Rys. 5.1. Budowa wyłącznika różnicowoprądowego</w:t>
      </w:r>
    </w:p>
    <w:p w:rsidR="00177955" w:rsidRDefault="00177955">
      <w:pPr>
        <w:pStyle w:val="Default"/>
        <w:spacing w:after="120"/>
      </w:pPr>
      <w:r>
        <w:t xml:space="preserve">Wyłącznik różnicowoprądowy bez członu nadprądowego, nie reaguje jedynie na prądy uszkodzeniowe płynące tylko w przewodach czynnych czyli zwarciowe lub przeciążeniowe, gdyż wtedy suma prądów obwodu nadal wynosi prawie zero. </w:t>
      </w:r>
    </w:p>
    <w:p w:rsidR="00177955" w:rsidRDefault="00177955">
      <w:pPr>
        <w:pStyle w:val="Default"/>
        <w:spacing w:after="120"/>
      </w:pPr>
      <w:r>
        <w:t xml:space="preserve">Wyłączniki różnicowoprądowe mogą być elementem systemu podstawowej ochrony przeciwporażeniowej, lub uzupełnieniem ochrony przy uszkodzeniu, albo ochrony przeciwpożarowej i stosownie w tych celach każdorazowo spełniają nieco inną rolę. </w:t>
      </w:r>
    </w:p>
    <w:p w:rsidR="00177955" w:rsidRDefault="00177955">
      <w:pPr>
        <w:pStyle w:val="Default"/>
        <w:spacing w:after="120"/>
      </w:pPr>
      <w:r>
        <w:t xml:space="preserve">Wyłączniki różnicowoprądowe są wrażliwe na warunki środowiskowe zapylenie i wilgoć, bez dodatkowej osłony mogą być instalowane jedynie w pomieszczeniach suchych i nie zapylonych. W pomieszczeniach wilgotnych i zapylonych mogą być montowane jedynie w obudowach o odpowiednim wysokim stopniu ochrony IP wg PN-EN 60529:2003. </w:t>
      </w:r>
    </w:p>
    <w:p w:rsidR="00177955" w:rsidRDefault="00177955">
      <w:pPr>
        <w:pStyle w:val="Default"/>
        <w:spacing w:after="120"/>
      </w:pPr>
      <w:r>
        <w:rPr>
          <w:b/>
          <w:bCs/>
        </w:rPr>
        <w:t xml:space="preserve">5.2. Okresowe sprawdzanie wyłącznika różnicowoprądowego przyciskiem TEST </w:t>
      </w:r>
    </w:p>
    <w:p w:rsidR="00177955" w:rsidRDefault="00177955">
      <w:pPr>
        <w:pStyle w:val="Default"/>
        <w:spacing w:after="120"/>
      </w:pPr>
      <w:r>
        <w:t xml:space="preserve">Z uwagi ba bardzo dokładne dopasowanie magnesu ze zworą, konieczne jest okresowe sprawdzanie działania wyłączników przeciwporażeniowych różnicowoprądowych przyciskiem TEST. W przypadku bardzo długiego okresu bez wyłączania wyłącznika, w wyniku dyfundacji atomów ze zwory do magnesu i odwrotnie, może nastąpić sklejenie zwory z magnesem, co powoduje niedziałanie zabezpieczenia różnicowoprądowego, w razie wystąpienia uszkodzenia. </w:t>
      </w:r>
    </w:p>
    <w:p w:rsidR="00177955" w:rsidRDefault="00177955">
      <w:pPr>
        <w:pStyle w:val="Default"/>
        <w:spacing w:after="120"/>
      </w:pPr>
      <w:r>
        <w:t xml:space="preserve">Zgodnie z Rozporządzeniem Ministra Infrastruktury z dnia 6 lutego 2003r. w sprawie bezpieczeństwa i higieny pracy przy wykonywaniu robót budowlanych, na terenach budowy, które stanowi: W </w:t>
      </w:r>
      <w:r>
        <w:rPr>
          <w:rFonts w:ascii="Times New Roman" w:hAnsi="Times New Roman" w:cs="Times New Roman"/>
        </w:rPr>
        <w:t>§</w:t>
      </w:r>
      <w:r>
        <w:t xml:space="preserve">59 1. W przypadku zastosowania urządzeń ochronnych różnicowoprądowych w instalacji, należy sprawdzić ich działanie przyciskiem TEST każdorazowo przed przystąpieniem do pracy. </w:t>
      </w:r>
    </w:p>
    <w:p w:rsidR="00177955" w:rsidRDefault="00177955">
      <w:pPr>
        <w:pStyle w:val="Default"/>
        <w:spacing w:after="120"/>
      </w:pPr>
      <w:r>
        <w:rPr>
          <w:b/>
          <w:bCs/>
        </w:rPr>
        <w:t xml:space="preserve">5.3. Charakterystyki pasmowe i oznaczenia wyłączników różnicowoprądowych </w:t>
      </w:r>
    </w:p>
    <w:p w:rsidR="00177955" w:rsidRDefault="00177955">
      <w:r>
        <w:t>Charakterystyki pasmowe czasowo-prądowe wyłączników różnicowoprądowych:</w:t>
      </w:r>
      <w:r>
        <w:br/>
        <w:t xml:space="preserve"> -1-bezzwłocznego,  2-o działaniu czasowo zależnym,  3- selektywnego, przedstawiono na rysunku 5.2.</w:t>
      </w:r>
    </w:p>
    <w:p w:rsidR="00177955" w:rsidRDefault="00177955">
      <w:pPr>
        <w:pStyle w:val="Default"/>
        <w:spacing w:after="120"/>
      </w:pPr>
      <w:r>
        <w:t>Jak wynika z charakterystyki wyłącznik różnicowy działa, gdy prąd uszkodzeni owy przekroczy połowę znamionowego prądu różnicowego I</w:t>
      </w:r>
      <w:r>
        <w:rPr>
          <w:rFonts w:ascii="Symbol" w:hAnsi="Symbol" w:cs="Symbol"/>
          <w:vertAlign w:val="subscript"/>
        </w:rPr>
        <w:t></w:t>
      </w:r>
      <w:r>
        <w:rPr>
          <w:vertAlign w:val="subscript"/>
        </w:rPr>
        <w:t xml:space="preserve">n  </w:t>
      </w:r>
    </w:p>
    <w:p w:rsidR="00177955" w:rsidRDefault="00177955">
      <w:pPr>
        <w:pStyle w:val="tabelki"/>
        <w:widowControl/>
        <w:spacing w:before="60" w:after="60"/>
        <w:rPr>
          <w:rFonts w:cs="Arial"/>
        </w:rPr>
      </w:pPr>
      <w:r>
        <w:rPr>
          <w:rFonts w:cs="Arial"/>
          <w:noProof/>
          <w:sz w:val="20"/>
          <w:szCs w:val="20"/>
        </w:rPr>
        <w:pict>
          <v:shape id="Obraz 6" o:spid="_x0000_i1029" type="#_x0000_t75" style="width:345.75pt;height:207pt;visibility:visible" fillcolor="window">
            <v:imagedata r:id="rId13" o:title=""/>
          </v:shape>
        </w:pict>
      </w:r>
      <w:r>
        <w:rPr>
          <w:rFonts w:cs="Arial"/>
          <w:sz w:val="20"/>
          <w:szCs w:val="20"/>
        </w:rPr>
        <w:t xml:space="preserve"> n</w:t>
      </w:r>
    </w:p>
    <w:p w:rsidR="00177955" w:rsidRDefault="00177955">
      <w:pPr>
        <w:jc w:val="center"/>
        <w:rPr>
          <w:b/>
          <w:bCs/>
        </w:rPr>
      </w:pPr>
      <w:r>
        <w:t>Rys. 5.2. Charakterystyki pasmowe czasowo-prądowe wyłączników różnicowoprądowych 1-</w:t>
      </w:r>
      <w:r>
        <w:rPr>
          <w:b/>
          <w:bCs/>
        </w:rPr>
        <w:t xml:space="preserve">bezzwłocznego 2-o działaniu czasowo zależnym </w:t>
      </w:r>
      <w:r>
        <w:rPr>
          <w:b/>
          <w:bCs/>
        </w:rPr>
        <w:br/>
        <w:t>3- selektywnego</w:t>
      </w:r>
    </w:p>
    <w:p w:rsidR="00177955" w:rsidRDefault="00177955">
      <w:pPr>
        <w:rPr>
          <w:b/>
          <w:bCs/>
        </w:rPr>
      </w:pPr>
      <w:r>
        <w:rPr>
          <w:b/>
          <w:bCs/>
        </w:rPr>
        <w:t>5.4. Skuteczność ochrony w instalacji z wyłącznikami różnicowoprądowymi</w:t>
      </w:r>
    </w:p>
    <w:p w:rsidR="00177955" w:rsidRDefault="00177955">
      <w:r>
        <w:t>Dla zapewnienia samoczynnego wyłączenia zasilania przy zastosowaniu urządzeń ochronnych różnicowoprądowych powinny być spełnione następujące wymagania:</w:t>
      </w:r>
    </w:p>
    <w:p w:rsidR="00177955" w:rsidRDefault="00177955">
      <w:pPr>
        <w:rPr>
          <w:vertAlign w:val="subscript"/>
        </w:rPr>
      </w:pPr>
      <w:r>
        <w:rPr>
          <w:b/>
          <w:bCs/>
        </w:rPr>
        <w:t xml:space="preserve"> - w układzie sieci TN</w:t>
      </w:r>
      <w:r>
        <w:t xml:space="preserve"> </w:t>
      </w:r>
      <w:r>
        <w:tab/>
      </w:r>
      <w:r>
        <w:tab/>
        <w:t xml:space="preserve">  Z</w:t>
      </w:r>
      <w:r>
        <w:rPr>
          <w:vertAlign w:val="subscript"/>
        </w:rPr>
        <w:t>s</w:t>
      </w:r>
      <w:r>
        <w:t xml:space="preserve"> x I</w:t>
      </w:r>
      <w:r>
        <w:rPr>
          <w:rFonts w:ascii="Symbol" w:hAnsi="Symbol" w:cs="Symbol"/>
          <w:vertAlign w:val="subscript"/>
        </w:rPr>
        <w:t></w:t>
      </w:r>
      <w:r>
        <w:rPr>
          <w:vertAlign w:val="subscript"/>
        </w:rPr>
        <w:t xml:space="preserve">n  </w:t>
      </w:r>
      <w:r>
        <w:rPr>
          <w:u w:val="single"/>
        </w:rPr>
        <w:t>&lt;</w:t>
      </w:r>
      <w:r>
        <w:t xml:space="preserve"> U</w:t>
      </w:r>
      <w:r>
        <w:rPr>
          <w:vertAlign w:val="subscript"/>
        </w:rPr>
        <w:t xml:space="preserve">o </w:t>
      </w:r>
    </w:p>
    <w:p w:rsidR="00177955" w:rsidRDefault="00177955">
      <w:r>
        <w:t>gdzie: Z</w:t>
      </w:r>
      <w:r>
        <w:rPr>
          <w:vertAlign w:val="subscript"/>
        </w:rPr>
        <w:t xml:space="preserve">S </w:t>
      </w:r>
      <w:r>
        <w:t>- impedancja pętli zwarcia, obejmująca źródło zasilania, przewód fazowy do miejsca zwarcia i przewód ochronny od miejsca zwarcia do źródła zasilania.</w:t>
      </w:r>
      <w:r>
        <w:br/>
      </w:r>
      <w:r>
        <w:tab/>
        <w:t>I</w:t>
      </w:r>
      <w:r>
        <w:rPr>
          <w:rFonts w:ascii="Symbol" w:hAnsi="Symbol" w:cs="Symbol"/>
          <w:vertAlign w:val="subscript"/>
        </w:rPr>
        <w:t></w:t>
      </w:r>
      <w:r>
        <w:rPr>
          <w:vertAlign w:val="subscript"/>
        </w:rPr>
        <w:t xml:space="preserve">n </w:t>
      </w:r>
      <w:r>
        <w:t>- znamionowy różnicowy prąd zadziałania urządzenia ochronnego różnicowo-</w:t>
      </w:r>
      <w:r>
        <w:br/>
      </w:r>
      <w:r>
        <w:tab/>
        <w:t xml:space="preserve">       prądowego.</w:t>
      </w:r>
      <w:r>
        <w:br/>
      </w:r>
      <w:r>
        <w:tab/>
        <w:t>U</w:t>
      </w:r>
      <w:r>
        <w:rPr>
          <w:vertAlign w:val="subscript"/>
        </w:rPr>
        <w:t xml:space="preserve">o </w:t>
      </w:r>
      <w:r>
        <w:t>- napięcie znamionowe względem ziemi.</w:t>
      </w:r>
    </w:p>
    <w:p w:rsidR="00177955" w:rsidRDefault="00177955">
      <w:r>
        <w:t>W układzie sieci TN wymaganie to jest łatwe do spełnienia, gdyż prąd zadziałania urządzeń ochronnych różnicowoprądowych jest zawsze znacznie mniejszy od prądu jednofazowego zwarcia z ziemią występującego w tym układzie sieci.</w:t>
      </w:r>
    </w:p>
    <w:p w:rsidR="00177955" w:rsidRDefault="00177955">
      <w:pPr>
        <w:ind w:left="1134" w:hanging="992"/>
      </w:pPr>
      <w:r>
        <w:t xml:space="preserve">W tabeli 5.1. podano wartości znormalizowane maksymalnych czasów wyłączania wyłączników ochronnych różnicowoprądowych w sekundach dla </w:t>
      </w:r>
      <w:r>
        <w:br/>
        <w:t>3-ech krotności prądu I</w:t>
      </w:r>
      <w:r>
        <w:rPr>
          <w:vertAlign w:val="subscript"/>
        </w:rPr>
        <w:sym w:font="Symbol" w:char="F044"/>
      </w:r>
      <w:r>
        <w:rPr>
          <w:vertAlign w:val="subscript"/>
        </w:rPr>
        <w:t>n</w:t>
      </w:r>
      <w:r>
        <w:t>.</w:t>
      </w:r>
    </w:p>
    <w:p w:rsidR="00177955" w:rsidRDefault="00177955">
      <w:pPr>
        <w:ind w:left="1134" w:hanging="992"/>
      </w:pPr>
      <w:r>
        <w:t xml:space="preserve">Tabela 5.1. - Wartości znormalizowane maksymalnych czasów wyłączania wyłączników ochronnych różnicowoprądowych w sekundach dla </w:t>
      </w:r>
      <w:r>
        <w:br/>
        <w:t>3 krotności -1, -2 i -3 krotności prądu I</w:t>
      </w:r>
      <w:r>
        <w:rPr>
          <w:vertAlign w:val="subscript"/>
        </w:rPr>
        <w:sym w:font="Symbol" w:char="F044"/>
      </w:r>
      <w:r>
        <w:rPr>
          <w:vertAlign w:val="subscript"/>
        </w:rPr>
        <w:t>n</w:t>
      </w:r>
      <w:r>
        <w:t>.</w:t>
      </w: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tblPr>
      <w:tblGrid>
        <w:gridCol w:w="354"/>
        <w:gridCol w:w="2269"/>
        <w:gridCol w:w="567"/>
        <w:gridCol w:w="993"/>
        <w:gridCol w:w="992"/>
        <w:gridCol w:w="1278"/>
        <w:gridCol w:w="1203"/>
        <w:gridCol w:w="1201"/>
      </w:tblGrid>
      <w:tr w:rsidR="00177955">
        <w:tblPrEx>
          <w:tblCellMar>
            <w:top w:w="0" w:type="dxa"/>
            <w:bottom w:w="0" w:type="dxa"/>
          </w:tblCellMar>
        </w:tblPrEx>
        <w:tc>
          <w:tcPr>
            <w:tcW w:w="354" w:type="dxa"/>
            <w:tcBorders>
              <w:top w:val="single" w:sz="12" w:space="0" w:color="auto"/>
            </w:tcBorders>
          </w:tcPr>
          <w:p w:rsidR="00177955" w:rsidRDefault="00177955">
            <w:r>
              <w:rPr>
                <w:sz w:val="22"/>
                <w:szCs w:val="22"/>
              </w:rPr>
              <w:t>Lp.</w:t>
            </w:r>
          </w:p>
        </w:tc>
        <w:tc>
          <w:tcPr>
            <w:tcW w:w="2269" w:type="dxa"/>
            <w:tcBorders>
              <w:top w:val="single" w:sz="12" w:space="0" w:color="auto"/>
            </w:tcBorders>
          </w:tcPr>
          <w:p w:rsidR="00177955" w:rsidRDefault="00177955">
            <w:r>
              <w:rPr>
                <w:sz w:val="22"/>
                <w:szCs w:val="22"/>
              </w:rPr>
              <w:t>Rodzaj wyłącznika różnicowoprądowego</w:t>
            </w:r>
          </w:p>
        </w:tc>
        <w:tc>
          <w:tcPr>
            <w:tcW w:w="567" w:type="dxa"/>
            <w:tcBorders>
              <w:top w:val="single" w:sz="12" w:space="0" w:color="auto"/>
            </w:tcBorders>
          </w:tcPr>
          <w:p w:rsidR="00177955" w:rsidRDefault="00177955">
            <w:pPr>
              <w:rPr>
                <w:lang w:val="en-US"/>
              </w:rPr>
            </w:pPr>
            <w:r>
              <w:rPr>
                <w:sz w:val="22"/>
                <w:szCs w:val="22"/>
                <w:lang w:val="en-US"/>
              </w:rPr>
              <w:t>Typ</w:t>
            </w:r>
          </w:p>
        </w:tc>
        <w:tc>
          <w:tcPr>
            <w:tcW w:w="993" w:type="dxa"/>
            <w:tcBorders>
              <w:top w:val="single" w:sz="12" w:space="0" w:color="auto"/>
            </w:tcBorders>
          </w:tcPr>
          <w:p w:rsidR="00177955" w:rsidRDefault="00177955">
            <w:pPr>
              <w:jc w:val="center"/>
              <w:rPr>
                <w:lang w:val="en-US"/>
              </w:rPr>
            </w:pPr>
            <w:r>
              <w:rPr>
                <w:sz w:val="22"/>
                <w:szCs w:val="22"/>
                <w:lang w:val="en-US"/>
              </w:rPr>
              <w:t>I</w:t>
            </w:r>
            <w:r>
              <w:rPr>
                <w:sz w:val="22"/>
                <w:szCs w:val="22"/>
                <w:vertAlign w:val="subscript"/>
                <w:lang w:val="en-US"/>
              </w:rPr>
              <w:t>n</w:t>
            </w:r>
            <w:r>
              <w:rPr>
                <w:sz w:val="22"/>
                <w:szCs w:val="22"/>
                <w:vertAlign w:val="subscript"/>
                <w:lang w:val="en-US"/>
              </w:rPr>
              <w:br/>
            </w:r>
            <w:r>
              <w:rPr>
                <w:sz w:val="22"/>
                <w:szCs w:val="22"/>
                <w:lang w:val="en-US"/>
              </w:rPr>
              <w:t>[A]</w:t>
            </w:r>
          </w:p>
        </w:tc>
        <w:tc>
          <w:tcPr>
            <w:tcW w:w="992" w:type="dxa"/>
            <w:tcBorders>
              <w:top w:val="single" w:sz="12" w:space="0" w:color="auto"/>
            </w:tcBorders>
          </w:tcPr>
          <w:p w:rsidR="00177955" w:rsidRDefault="00177955">
            <w:pPr>
              <w:jc w:val="center"/>
            </w:pPr>
            <w:r>
              <w:rPr>
                <w:sz w:val="22"/>
                <w:szCs w:val="22"/>
              </w:rPr>
              <w:t>I</w:t>
            </w:r>
            <w:r>
              <w:rPr>
                <w:sz w:val="22"/>
                <w:szCs w:val="22"/>
                <w:vertAlign w:val="subscript"/>
              </w:rPr>
              <w:sym w:font="Symbol" w:char="F044"/>
            </w:r>
            <w:r>
              <w:rPr>
                <w:sz w:val="22"/>
                <w:szCs w:val="22"/>
                <w:vertAlign w:val="subscript"/>
              </w:rPr>
              <w:t>n</w:t>
            </w:r>
            <w:r>
              <w:rPr>
                <w:sz w:val="22"/>
                <w:szCs w:val="22"/>
                <w:vertAlign w:val="subscript"/>
              </w:rPr>
              <w:br/>
            </w:r>
            <w:r>
              <w:rPr>
                <w:sz w:val="22"/>
                <w:szCs w:val="22"/>
              </w:rPr>
              <w:t>[A]</w:t>
            </w:r>
          </w:p>
        </w:tc>
        <w:tc>
          <w:tcPr>
            <w:tcW w:w="1278" w:type="dxa"/>
            <w:tcBorders>
              <w:top w:val="single" w:sz="12" w:space="0" w:color="auto"/>
            </w:tcBorders>
          </w:tcPr>
          <w:p w:rsidR="00177955" w:rsidRDefault="00177955">
            <w:r>
              <w:rPr>
                <w:sz w:val="22"/>
                <w:szCs w:val="22"/>
              </w:rPr>
              <w:t xml:space="preserve">    1 x I</w:t>
            </w:r>
            <w:r>
              <w:rPr>
                <w:sz w:val="22"/>
                <w:szCs w:val="22"/>
                <w:vertAlign w:val="subscript"/>
              </w:rPr>
              <w:sym w:font="Symbol" w:char="F044"/>
            </w:r>
            <w:r>
              <w:rPr>
                <w:sz w:val="22"/>
                <w:szCs w:val="22"/>
                <w:vertAlign w:val="subscript"/>
              </w:rPr>
              <w:t>n</w:t>
            </w:r>
          </w:p>
        </w:tc>
        <w:tc>
          <w:tcPr>
            <w:tcW w:w="1203" w:type="dxa"/>
            <w:tcBorders>
              <w:top w:val="single" w:sz="12" w:space="0" w:color="auto"/>
            </w:tcBorders>
          </w:tcPr>
          <w:p w:rsidR="00177955" w:rsidRDefault="00177955">
            <w:r>
              <w:rPr>
                <w:sz w:val="22"/>
                <w:szCs w:val="22"/>
              </w:rPr>
              <w:t xml:space="preserve">    2 x I</w:t>
            </w:r>
            <w:r>
              <w:rPr>
                <w:sz w:val="22"/>
                <w:szCs w:val="22"/>
                <w:vertAlign w:val="subscript"/>
              </w:rPr>
              <w:sym w:font="Symbol" w:char="F044"/>
            </w:r>
            <w:r>
              <w:rPr>
                <w:sz w:val="22"/>
                <w:szCs w:val="22"/>
                <w:vertAlign w:val="subscript"/>
              </w:rPr>
              <w:t>n</w:t>
            </w:r>
          </w:p>
        </w:tc>
        <w:tc>
          <w:tcPr>
            <w:tcW w:w="1201" w:type="dxa"/>
            <w:tcBorders>
              <w:top w:val="single" w:sz="12" w:space="0" w:color="auto"/>
            </w:tcBorders>
          </w:tcPr>
          <w:p w:rsidR="00177955" w:rsidRDefault="00177955">
            <w:r>
              <w:rPr>
                <w:sz w:val="22"/>
                <w:szCs w:val="22"/>
              </w:rPr>
              <w:t xml:space="preserve">    5 x I</w:t>
            </w:r>
            <w:r>
              <w:rPr>
                <w:sz w:val="22"/>
                <w:szCs w:val="22"/>
                <w:vertAlign w:val="subscript"/>
              </w:rPr>
              <w:sym w:font="Symbol" w:char="F044"/>
            </w:r>
            <w:r>
              <w:rPr>
                <w:sz w:val="22"/>
                <w:szCs w:val="22"/>
                <w:vertAlign w:val="subscript"/>
              </w:rPr>
              <w:t>n</w:t>
            </w:r>
          </w:p>
        </w:tc>
      </w:tr>
      <w:tr w:rsidR="00177955">
        <w:tblPrEx>
          <w:tblCellMar>
            <w:top w:w="0" w:type="dxa"/>
            <w:bottom w:w="0" w:type="dxa"/>
          </w:tblCellMar>
        </w:tblPrEx>
        <w:tc>
          <w:tcPr>
            <w:tcW w:w="354" w:type="dxa"/>
            <w:tcBorders>
              <w:top w:val="nil"/>
            </w:tcBorders>
            <w:vAlign w:val="center"/>
          </w:tcPr>
          <w:p w:rsidR="00177955" w:rsidRDefault="00177955">
            <w:pPr>
              <w:jc w:val="center"/>
            </w:pPr>
            <w:r>
              <w:rPr>
                <w:sz w:val="22"/>
                <w:szCs w:val="22"/>
              </w:rPr>
              <w:t>1</w:t>
            </w:r>
          </w:p>
        </w:tc>
        <w:tc>
          <w:tcPr>
            <w:tcW w:w="2269" w:type="dxa"/>
            <w:tcBorders>
              <w:top w:val="nil"/>
            </w:tcBorders>
            <w:vAlign w:val="center"/>
          </w:tcPr>
          <w:p w:rsidR="00177955" w:rsidRDefault="00177955">
            <w:pPr>
              <w:jc w:val="center"/>
            </w:pPr>
            <w:r>
              <w:rPr>
                <w:sz w:val="22"/>
                <w:szCs w:val="22"/>
              </w:rPr>
              <w:t>Tylko na prąd przemienny</w:t>
            </w:r>
          </w:p>
        </w:tc>
        <w:tc>
          <w:tcPr>
            <w:tcW w:w="567" w:type="dxa"/>
            <w:tcBorders>
              <w:top w:val="nil"/>
            </w:tcBorders>
            <w:vAlign w:val="center"/>
          </w:tcPr>
          <w:p w:rsidR="00177955" w:rsidRDefault="00177955">
            <w:pPr>
              <w:jc w:val="center"/>
            </w:pPr>
            <w:r>
              <w:rPr>
                <w:sz w:val="22"/>
                <w:szCs w:val="22"/>
              </w:rPr>
              <w:t>AC</w:t>
            </w:r>
          </w:p>
        </w:tc>
        <w:tc>
          <w:tcPr>
            <w:tcW w:w="993" w:type="dxa"/>
            <w:tcBorders>
              <w:top w:val="nil"/>
            </w:tcBorders>
            <w:vAlign w:val="center"/>
          </w:tcPr>
          <w:p w:rsidR="00177955" w:rsidRDefault="00177955">
            <w:pPr>
              <w:jc w:val="center"/>
            </w:pPr>
            <w:r>
              <w:rPr>
                <w:sz w:val="22"/>
                <w:szCs w:val="22"/>
              </w:rPr>
              <w:t>dowolna</w:t>
            </w:r>
            <w:r>
              <w:rPr>
                <w:sz w:val="22"/>
                <w:szCs w:val="22"/>
              </w:rPr>
              <w:br/>
              <w:t>wartość</w:t>
            </w:r>
          </w:p>
        </w:tc>
        <w:tc>
          <w:tcPr>
            <w:tcW w:w="992" w:type="dxa"/>
            <w:tcBorders>
              <w:top w:val="nil"/>
            </w:tcBorders>
            <w:vAlign w:val="center"/>
          </w:tcPr>
          <w:p w:rsidR="00177955" w:rsidRDefault="00177955">
            <w:pPr>
              <w:jc w:val="center"/>
            </w:pPr>
            <w:r>
              <w:rPr>
                <w:sz w:val="22"/>
                <w:szCs w:val="22"/>
              </w:rPr>
              <w:t>dowolna</w:t>
            </w:r>
            <w:r>
              <w:rPr>
                <w:sz w:val="22"/>
                <w:szCs w:val="22"/>
              </w:rPr>
              <w:br/>
              <w:t>wartość</w:t>
            </w:r>
          </w:p>
        </w:tc>
        <w:tc>
          <w:tcPr>
            <w:tcW w:w="1278" w:type="dxa"/>
            <w:tcBorders>
              <w:top w:val="nil"/>
            </w:tcBorders>
            <w:vAlign w:val="center"/>
          </w:tcPr>
          <w:p w:rsidR="00177955" w:rsidRDefault="00177955">
            <w:pPr>
              <w:jc w:val="center"/>
            </w:pPr>
            <w:r>
              <w:rPr>
                <w:sz w:val="22"/>
                <w:szCs w:val="22"/>
                <w:u w:val="single"/>
              </w:rPr>
              <w:t>&lt;</w:t>
            </w:r>
            <w:r>
              <w:rPr>
                <w:sz w:val="22"/>
                <w:szCs w:val="22"/>
              </w:rPr>
              <w:t xml:space="preserve"> 0,30</w:t>
            </w:r>
          </w:p>
        </w:tc>
        <w:tc>
          <w:tcPr>
            <w:tcW w:w="1203" w:type="dxa"/>
            <w:tcBorders>
              <w:top w:val="nil"/>
            </w:tcBorders>
            <w:vAlign w:val="center"/>
          </w:tcPr>
          <w:p w:rsidR="00177955" w:rsidRDefault="00177955">
            <w:pPr>
              <w:jc w:val="center"/>
            </w:pPr>
            <w:r>
              <w:rPr>
                <w:sz w:val="22"/>
                <w:szCs w:val="22"/>
              </w:rPr>
              <w:t>0,15</w:t>
            </w:r>
          </w:p>
        </w:tc>
        <w:tc>
          <w:tcPr>
            <w:tcW w:w="1201" w:type="dxa"/>
            <w:tcBorders>
              <w:top w:val="nil"/>
            </w:tcBorders>
            <w:vAlign w:val="center"/>
          </w:tcPr>
          <w:p w:rsidR="00177955" w:rsidRDefault="00177955">
            <w:pPr>
              <w:jc w:val="center"/>
            </w:pPr>
            <w:r>
              <w:rPr>
                <w:sz w:val="22"/>
                <w:szCs w:val="22"/>
              </w:rPr>
              <w:t>0,04</w:t>
            </w:r>
          </w:p>
        </w:tc>
      </w:tr>
      <w:tr w:rsidR="00177955">
        <w:tblPrEx>
          <w:tblCellMar>
            <w:top w:w="0" w:type="dxa"/>
            <w:bottom w:w="0" w:type="dxa"/>
          </w:tblCellMar>
        </w:tblPrEx>
        <w:tc>
          <w:tcPr>
            <w:tcW w:w="354" w:type="dxa"/>
            <w:vAlign w:val="center"/>
          </w:tcPr>
          <w:p w:rsidR="00177955" w:rsidRDefault="00177955">
            <w:pPr>
              <w:jc w:val="center"/>
            </w:pPr>
            <w:r>
              <w:rPr>
                <w:sz w:val="22"/>
                <w:szCs w:val="22"/>
              </w:rPr>
              <w:t>2</w:t>
            </w:r>
          </w:p>
        </w:tc>
        <w:tc>
          <w:tcPr>
            <w:tcW w:w="2269" w:type="dxa"/>
            <w:vAlign w:val="center"/>
          </w:tcPr>
          <w:p w:rsidR="00177955" w:rsidRDefault="00177955">
            <w:pPr>
              <w:jc w:val="center"/>
            </w:pPr>
            <w:r>
              <w:rPr>
                <w:sz w:val="22"/>
                <w:szCs w:val="22"/>
              </w:rPr>
              <w:t>Na prąd przemienny i pulsujący</w:t>
            </w:r>
          </w:p>
        </w:tc>
        <w:tc>
          <w:tcPr>
            <w:tcW w:w="567" w:type="dxa"/>
            <w:vAlign w:val="center"/>
          </w:tcPr>
          <w:p w:rsidR="00177955" w:rsidRDefault="00177955">
            <w:pPr>
              <w:jc w:val="center"/>
            </w:pPr>
            <w:r>
              <w:rPr>
                <w:sz w:val="22"/>
                <w:szCs w:val="22"/>
              </w:rPr>
              <w:t>A</w:t>
            </w:r>
          </w:p>
        </w:tc>
        <w:tc>
          <w:tcPr>
            <w:tcW w:w="993" w:type="dxa"/>
            <w:vAlign w:val="center"/>
          </w:tcPr>
          <w:p w:rsidR="00177955" w:rsidRDefault="00177955">
            <w:pPr>
              <w:jc w:val="center"/>
            </w:pPr>
            <w:r>
              <w:rPr>
                <w:sz w:val="22"/>
                <w:szCs w:val="22"/>
              </w:rPr>
              <w:t>dowolna</w:t>
            </w:r>
            <w:r>
              <w:rPr>
                <w:sz w:val="22"/>
                <w:szCs w:val="22"/>
              </w:rPr>
              <w:br/>
              <w:t>wartość</w:t>
            </w:r>
          </w:p>
        </w:tc>
        <w:tc>
          <w:tcPr>
            <w:tcW w:w="992" w:type="dxa"/>
            <w:vAlign w:val="center"/>
          </w:tcPr>
          <w:p w:rsidR="00177955" w:rsidRDefault="00177955">
            <w:pPr>
              <w:jc w:val="center"/>
            </w:pPr>
            <w:r>
              <w:rPr>
                <w:sz w:val="22"/>
                <w:szCs w:val="22"/>
              </w:rPr>
              <w:t>dowolna</w:t>
            </w:r>
            <w:r>
              <w:rPr>
                <w:sz w:val="22"/>
                <w:szCs w:val="22"/>
              </w:rPr>
              <w:br/>
              <w:t>wartość</w:t>
            </w:r>
          </w:p>
        </w:tc>
        <w:tc>
          <w:tcPr>
            <w:tcW w:w="1278" w:type="dxa"/>
            <w:vAlign w:val="center"/>
          </w:tcPr>
          <w:p w:rsidR="00177955" w:rsidRDefault="00177955">
            <w:pPr>
              <w:jc w:val="center"/>
            </w:pPr>
            <w:r>
              <w:rPr>
                <w:sz w:val="22"/>
                <w:szCs w:val="22"/>
                <w:u w:val="single"/>
              </w:rPr>
              <w:t>&lt;</w:t>
            </w:r>
            <w:r>
              <w:rPr>
                <w:sz w:val="22"/>
                <w:szCs w:val="22"/>
              </w:rPr>
              <w:t xml:space="preserve"> 0,42</w:t>
            </w:r>
          </w:p>
        </w:tc>
        <w:tc>
          <w:tcPr>
            <w:tcW w:w="1203" w:type="dxa"/>
            <w:vAlign w:val="center"/>
          </w:tcPr>
          <w:p w:rsidR="00177955" w:rsidRDefault="00177955">
            <w:pPr>
              <w:jc w:val="center"/>
            </w:pPr>
            <w:r>
              <w:rPr>
                <w:sz w:val="22"/>
                <w:szCs w:val="22"/>
                <w:u w:val="single"/>
              </w:rPr>
              <w:t>&lt;</w:t>
            </w:r>
            <w:r>
              <w:rPr>
                <w:sz w:val="22"/>
                <w:szCs w:val="22"/>
              </w:rPr>
              <w:t xml:space="preserve"> 0,21</w:t>
            </w:r>
          </w:p>
        </w:tc>
        <w:tc>
          <w:tcPr>
            <w:tcW w:w="1201" w:type="dxa"/>
            <w:vAlign w:val="center"/>
          </w:tcPr>
          <w:p w:rsidR="00177955" w:rsidRDefault="00177955">
            <w:pPr>
              <w:jc w:val="center"/>
            </w:pPr>
            <w:r>
              <w:rPr>
                <w:sz w:val="22"/>
                <w:szCs w:val="22"/>
                <w:u w:val="single"/>
              </w:rPr>
              <w:t>&lt;</w:t>
            </w:r>
            <w:r>
              <w:rPr>
                <w:sz w:val="22"/>
                <w:szCs w:val="22"/>
              </w:rPr>
              <w:t xml:space="preserve"> 0,056</w:t>
            </w:r>
          </w:p>
        </w:tc>
      </w:tr>
      <w:tr w:rsidR="00177955">
        <w:tblPrEx>
          <w:tblCellMar>
            <w:top w:w="0" w:type="dxa"/>
            <w:bottom w:w="0" w:type="dxa"/>
          </w:tblCellMar>
        </w:tblPrEx>
        <w:tc>
          <w:tcPr>
            <w:tcW w:w="354" w:type="dxa"/>
            <w:vAlign w:val="center"/>
          </w:tcPr>
          <w:p w:rsidR="00177955" w:rsidRDefault="00177955">
            <w:pPr>
              <w:jc w:val="center"/>
            </w:pPr>
            <w:r>
              <w:rPr>
                <w:sz w:val="22"/>
                <w:szCs w:val="22"/>
              </w:rPr>
              <w:t>3</w:t>
            </w:r>
          </w:p>
        </w:tc>
        <w:tc>
          <w:tcPr>
            <w:tcW w:w="2269" w:type="dxa"/>
            <w:vAlign w:val="center"/>
          </w:tcPr>
          <w:p w:rsidR="00177955" w:rsidRDefault="00177955">
            <w:pPr>
              <w:jc w:val="center"/>
            </w:pPr>
            <w:r>
              <w:rPr>
                <w:sz w:val="22"/>
                <w:szCs w:val="22"/>
              </w:rPr>
              <w:t>Na prąd przemienny  pulsujący i stały</w:t>
            </w:r>
          </w:p>
        </w:tc>
        <w:tc>
          <w:tcPr>
            <w:tcW w:w="567" w:type="dxa"/>
            <w:vAlign w:val="center"/>
          </w:tcPr>
          <w:p w:rsidR="00177955" w:rsidRDefault="00177955">
            <w:pPr>
              <w:jc w:val="center"/>
            </w:pPr>
            <w:r>
              <w:rPr>
                <w:sz w:val="22"/>
                <w:szCs w:val="22"/>
              </w:rPr>
              <w:t>B</w:t>
            </w:r>
          </w:p>
        </w:tc>
        <w:tc>
          <w:tcPr>
            <w:tcW w:w="993" w:type="dxa"/>
            <w:vAlign w:val="center"/>
          </w:tcPr>
          <w:p w:rsidR="00177955" w:rsidRDefault="00177955">
            <w:pPr>
              <w:jc w:val="center"/>
            </w:pPr>
            <w:r>
              <w:rPr>
                <w:sz w:val="22"/>
                <w:szCs w:val="22"/>
              </w:rPr>
              <w:t>dowolna</w:t>
            </w:r>
            <w:r>
              <w:rPr>
                <w:sz w:val="22"/>
                <w:szCs w:val="22"/>
              </w:rPr>
              <w:br/>
              <w:t>wartość</w:t>
            </w:r>
          </w:p>
        </w:tc>
        <w:tc>
          <w:tcPr>
            <w:tcW w:w="992" w:type="dxa"/>
            <w:vAlign w:val="center"/>
          </w:tcPr>
          <w:p w:rsidR="00177955" w:rsidRDefault="00177955">
            <w:pPr>
              <w:jc w:val="center"/>
            </w:pPr>
            <w:r>
              <w:rPr>
                <w:sz w:val="22"/>
                <w:szCs w:val="22"/>
              </w:rPr>
              <w:t>dowolna</w:t>
            </w:r>
            <w:r>
              <w:rPr>
                <w:sz w:val="22"/>
                <w:szCs w:val="22"/>
              </w:rPr>
              <w:br/>
              <w:t>wartość</w:t>
            </w:r>
          </w:p>
        </w:tc>
        <w:tc>
          <w:tcPr>
            <w:tcW w:w="1278" w:type="dxa"/>
            <w:vAlign w:val="center"/>
          </w:tcPr>
          <w:p w:rsidR="00177955" w:rsidRDefault="00177955">
            <w:pPr>
              <w:jc w:val="center"/>
            </w:pPr>
            <w:r>
              <w:rPr>
                <w:sz w:val="22"/>
                <w:szCs w:val="22"/>
                <w:u w:val="single"/>
              </w:rPr>
              <w:t>&lt;</w:t>
            </w:r>
            <w:r>
              <w:rPr>
                <w:sz w:val="22"/>
                <w:szCs w:val="22"/>
              </w:rPr>
              <w:t xml:space="preserve"> 0,60</w:t>
            </w:r>
          </w:p>
        </w:tc>
        <w:tc>
          <w:tcPr>
            <w:tcW w:w="1203" w:type="dxa"/>
            <w:vAlign w:val="center"/>
          </w:tcPr>
          <w:p w:rsidR="00177955" w:rsidRDefault="00177955">
            <w:pPr>
              <w:jc w:val="center"/>
            </w:pPr>
            <w:r>
              <w:rPr>
                <w:sz w:val="22"/>
                <w:szCs w:val="22"/>
                <w:u w:val="single"/>
              </w:rPr>
              <w:t>&lt;</w:t>
            </w:r>
            <w:r>
              <w:rPr>
                <w:sz w:val="22"/>
                <w:szCs w:val="22"/>
              </w:rPr>
              <w:t xml:space="preserve"> 0,3</w:t>
            </w:r>
          </w:p>
        </w:tc>
        <w:tc>
          <w:tcPr>
            <w:tcW w:w="1201" w:type="dxa"/>
            <w:vAlign w:val="center"/>
          </w:tcPr>
          <w:p w:rsidR="00177955" w:rsidRDefault="00177955">
            <w:pPr>
              <w:jc w:val="center"/>
            </w:pPr>
            <w:r>
              <w:rPr>
                <w:sz w:val="22"/>
                <w:szCs w:val="22"/>
                <w:u w:val="single"/>
              </w:rPr>
              <w:t>&lt;</w:t>
            </w:r>
            <w:r>
              <w:rPr>
                <w:sz w:val="22"/>
                <w:szCs w:val="22"/>
              </w:rPr>
              <w:t xml:space="preserve"> 0,08</w:t>
            </w:r>
          </w:p>
        </w:tc>
      </w:tr>
      <w:tr w:rsidR="00177955">
        <w:tblPrEx>
          <w:tblCellMar>
            <w:top w:w="0" w:type="dxa"/>
            <w:bottom w:w="0" w:type="dxa"/>
          </w:tblCellMar>
        </w:tblPrEx>
        <w:tc>
          <w:tcPr>
            <w:tcW w:w="354" w:type="dxa"/>
            <w:vAlign w:val="center"/>
          </w:tcPr>
          <w:p w:rsidR="00177955" w:rsidRDefault="00177955">
            <w:pPr>
              <w:jc w:val="center"/>
            </w:pPr>
            <w:r>
              <w:rPr>
                <w:sz w:val="22"/>
                <w:szCs w:val="22"/>
              </w:rPr>
              <w:t>4</w:t>
            </w:r>
          </w:p>
        </w:tc>
        <w:tc>
          <w:tcPr>
            <w:tcW w:w="2269" w:type="dxa"/>
            <w:vAlign w:val="center"/>
          </w:tcPr>
          <w:p w:rsidR="00177955" w:rsidRDefault="00177955">
            <w:pPr>
              <w:jc w:val="center"/>
            </w:pPr>
            <w:r>
              <w:rPr>
                <w:sz w:val="22"/>
                <w:szCs w:val="22"/>
              </w:rPr>
              <w:t>Krótkozwłoczny</w:t>
            </w:r>
          </w:p>
        </w:tc>
        <w:tc>
          <w:tcPr>
            <w:tcW w:w="567" w:type="dxa"/>
            <w:vAlign w:val="center"/>
          </w:tcPr>
          <w:p w:rsidR="00177955" w:rsidRDefault="00177955">
            <w:pPr>
              <w:jc w:val="center"/>
            </w:pPr>
            <w:r>
              <w:rPr>
                <w:sz w:val="22"/>
                <w:szCs w:val="22"/>
              </w:rPr>
              <w:t>G</w:t>
            </w:r>
          </w:p>
        </w:tc>
        <w:tc>
          <w:tcPr>
            <w:tcW w:w="993" w:type="dxa"/>
            <w:vAlign w:val="center"/>
          </w:tcPr>
          <w:p w:rsidR="00177955" w:rsidRDefault="00177955">
            <w:pPr>
              <w:jc w:val="center"/>
            </w:pPr>
            <w:r>
              <w:rPr>
                <w:sz w:val="22"/>
                <w:szCs w:val="22"/>
              </w:rPr>
              <w:t>dowolna</w:t>
            </w:r>
            <w:r>
              <w:rPr>
                <w:sz w:val="22"/>
                <w:szCs w:val="22"/>
              </w:rPr>
              <w:br/>
              <w:t>wartość</w:t>
            </w:r>
          </w:p>
        </w:tc>
        <w:tc>
          <w:tcPr>
            <w:tcW w:w="992" w:type="dxa"/>
            <w:vAlign w:val="center"/>
          </w:tcPr>
          <w:p w:rsidR="00177955" w:rsidRDefault="00177955">
            <w:pPr>
              <w:jc w:val="center"/>
            </w:pPr>
            <w:r>
              <w:rPr>
                <w:sz w:val="22"/>
                <w:szCs w:val="22"/>
              </w:rPr>
              <w:t>dowolna</w:t>
            </w:r>
            <w:r>
              <w:rPr>
                <w:sz w:val="22"/>
                <w:szCs w:val="22"/>
              </w:rPr>
              <w:br/>
              <w:t>wartość</w:t>
            </w:r>
          </w:p>
        </w:tc>
        <w:tc>
          <w:tcPr>
            <w:tcW w:w="1278" w:type="dxa"/>
            <w:vAlign w:val="center"/>
          </w:tcPr>
          <w:p w:rsidR="00177955" w:rsidRDefault="00177955">
            <w:pPr>
              <w:jc w:val="center"/>
            </w:pPr>
            <w:r>
              <w:rPr>
                <w:sz w:val="22"/>
                <w:szCs w:val="22"/>
              </w:rPr>
              <w:t>0,01-0,35</w:t>
            </w:r>
          </w:p>
        </w:tc>
        <w:tc>
          <w:tcPr>
            <w:tcW w:w="1203" w:type="dxa"/>
            <w:vAlign w:val="center"/>
          </w:tcPr>
          <w:p w:rsidR="00177955" w:rsidRDefault="00177955">
            <w:pPr>
              <w:jc w:val="center"/>
            </w:pPr>
            <w:r>
              <w:rPr>
                <w:sz w:val="22"/>
                <w:szCs w:val="22"/>
              </w:rPr>
              <w:t>0,01-0,15</w:t>
            </w:r>
          </w:p>
        </w:tc>
        <w:tc>
          <w:tcPr>
            <w:tcW w:w="1201" w:type="dxa"/>
            <w:vAlign w:val="center"/>
          </w:tcPr>
          <w:p w:rsidR="00177955" w:rsidRDefault="00177955">
            <w:pPr>
              <w:jc w:val="center"/>
            </w:pPr>
            <w:r>
              <w:rPr>
                <w:sz w:val="22"/>
                <w:szCs w:val="22"/>
              </w:rPr>
              <w:t>0,01-0,04</w:t>
            </w:r>
          </w:p>
        </w:tc>
      </w:tr>
      <w:tr w:rsidR="00177955">
        <w:tblPrEx>
          <w:tblCellMar>
            <w:top w:w="0" w:type="dxa"/>
            <w:bottom w:w="0" w:type="dxa"/>
          </w:tblCellMar>
        </w:tblPrEx>
        <w:tc>
          <w:tcPr>
            <w:tcW w:w="354" w:type="dxa"/>
            <w:tcBorders>
              <w:bottom w:val="single" w:sz="12" w:space="0" w:color="auto"/>
            </w:tcBorders>
            <w:vAlign w:val="center"/>
          </w:tcPr>
          <w:p w:rsidR="00177955" w:rsidRDefault="00177955">
            <w:pPr>
              <w:jc w:val="center"/>
            </w:pPr>
            <w:r>
              <w:rPr>
                <w:sz w:val="22"/>
                <w:szCs w:val="22"/>
              </w:rPr>
              <w:t>5</w:t>
            </w:r>
          </w:p>
        </w:tc>
        <w:tc>
          <w:tcPr>
            <w:tcW w:w="2269" w:type="dxa"/>
            <w:tcBorders>
              <w:bottom w:val="single" w:sz="12" w:space="0" w:color="auto"/>
            </w:tcBorders>
            <w:vAlign w:val="center"/>
          </w:tcPr>
          <w:p w:rsidR="00177955" w:rsidRDefault="00177955">
            <w:pPr>
              <w:jc w:val="center"/>
            </w:pPr>
            <w:r>
              <w:rPr>
                <w:sz w:val="22"/>
                <w:szCs w:val="22"/>
              </w:rPr>
              <w:t>Selektywny</w:t>
            </w:r>
          </w:p>
        </w:tc>
        <w:tc>
          <w:tcPr>
            <w:tcW w:w="567" w:type="dxa"/>
            <w:tcBorders>
              <w:bottom w:val="single" w:sz="12" w:space="0" w:color="auto"/>
            </w:tcBorders>
            <w:vAlign w:val="center"/>
          </w:tcPr>
          <w:p w:rsidR="00177955" w:rsidRDefault="00177955">
            <w:pPr>
              <w:jc w:val="center"/>
            </w:pPr>
            <w:r>
              <w:rPr>
                <w:sz w:val="22"/>
                <w:szCs w:val="22"/>
              </w:rPr>
              <w:t>S</w:t>
            </w:r>
          </w:p>
        </w:tc>
        <w:tc>
          <w:tcPr>
            <w:tcW w:w="993" w:type="dxa"/>
            <w:tcBorders>
              <w:bottom w:val="single" w:sz="12" w:space="0" w:color="auto"/>
            </w:tcBorders>
            <w:vAlign w:val="center"/>
          </w:tcPr>
          <w:p w:rsidR="00177955" w:rsidRDefault="00177955">
            <w:pPr>
              <w:jc w:val="center"/>
            </w:pPr>
            <w:r>
              <w:rPr>
                <w:sz w:val="22"/>
                <w:szCs w:val="22"/>
                <w:u w:val="single"/>
              </w:rPr>
              <w:t>&gt;</w:t>
            </w:r>
            <w:r>
              <w:rPr>
                <w:sz w:val="22"/>
                <w:szCs w:val="22"/>
              </w:rPr>
              <w:t xml:space="preserve"> 25</w:t>
            </w:r>
          </w:p>
        </w:tc>
        <w:tc>
          <w:tcPr>
            <w:tcW w:w="992" w:type="dxa"/>
            <w:tcBorders>
              <w:bottom w:val="single" w:sz="12" w:space="0" w:color="auto"/>
            </w:tcBorders>
            <w:vAlign w:val="center"/>
          </w:tcPr>
          <w:p w:rsidR="00177955" w:rsidRDefault="00177955">
            <w:pPr>
              <w:jc w:val="center"/>
            </w:pPr>
            <w:r>
              <w:rPr>
                <w:sz w:val="22"/>
                <w:szCs w:val="22"/>
              </w:rPr>
              <w:t>&gt; 0,03</w:t>
            </w:r>
          </w:p>
        </w:tc>
        <w:tc>
          <w:tcPr>
            <w:tcW w:w="1278" w:type="dxa"/>
            <w:tcBorders>
              <w:bottom w:val="single" w:sz="12" w:space="0" w:color="auto"/>
            </w:tcBorders>
            <w:vAlign w:val="center"/>
          </w:tcPr>
          <w:p w:rsidR="00177955" w:rsidRDefault="00177955">
            <w:pPr>
              <w:jc w:val="center"/>
            </w:pPr>
            <w:r>
              <w:rPr>
                <w:sz w:val="22"/>
                <w:szCs w:val="22"/>
              </w:rPr>
              <w:t>0,1-0,50</w:t>
            </w:r>
          </w:p>
        </w:tc>
        <w:tc>
          <w:tcPr>
            <w:tcW w:w="1203" w:type="dxa"/>
            <w:tcBorders>
              <w:bottom w:val="single" w:sz="12" w:space="0" w:color="auto"/>
            </w:tcBorders>
            <w:vAlign w:val="center"/>
          </w:tcPr>
          <w:p w:rsidR="00177955" w:rsidRDefault="00177955">
            <w:pPr>
              <w:jc w:val="center"/>
            </w:pPr>
            <w:r>
              <w:rPr>
                <w:sz w:val="22"/>
                <w:szCs w:val="22"/>
              </w:rPr>
              <w:t>0,05- 0,2</w:t>
            </w:r>
          </w:p>
        </w:tc>
        <w:tc>
          <w:tcPr>
            <w:tcW w:w="1201" w:type="dxa"/>
            <w:tcBorders>
              <w:bottom w:val="single" w:sz="12" w:space="0" w:color="auto"/>
            </w:tcBorders>
            <w:vAlign w:val="center"/>
          </w:tcPr>
          <w:p w:rsidR="00177955" w:rsidRDefault="00177955">
            <w:pPr>
              <w:jc w:val="center"/>
            </w:pPr>
            <w:r>
              <w:rPr>
                <w:sz w:val="22"/>
                <w:szCs w:val="22"/>
              </w:rPr>
              <w:t>0,02-0,15</w:t>
            </w:r>
          </w:p>
        </w:tc>
      </w:tr>
    </w:tbl>
    <w:p w:rsidR="00177955" w:rsidRDefault="00177955">
      <w:pPr>
        <w:pStyle w:val="tabelki"/>
        <w:widowControl/>
        <w:spacing w:before="60" w:after="60"/>
        <w:jc w:val="left"/>
        <w:rPr>
          <w:rFonts w:cs="Arial"/>
        </w:rPr>
      </w:pPr>
    </w:p>
    <w:p w:rsidR="00177955" w:rsidRDefault="00177955">
      <w:pPr>
        <w:rPr>
          <w:vertAlign w:val="subscript"/>
        </w:rPr>
      </w:pPr>
      <w:r>
        <w:rPr>
          <w:b/>
          <w:bCs/>
        </w:rPr>
        <w:t>- w układzie sieci TT</w:t>
      </w:r>
      <w:r>
        <w:t xml:space="preserve"> </w:t>
      </w:r>
      <w:r>
        <w:tab/>
      </w:r>
      <w:r>
        <w:tab/>
        <w:t xml:space="preserve"> R</w:t>
      </w:r>
      <w:r>
        <w:rPr>
          <w:vertAlign w:val="subscript"/>
        </w:rPr>
        <w:t xml:space="preserve">A </w:t>
      </w:r>
      <w:r>
        <w:t>x I</w:t>
      </w:r>
      <w:r>
        <w:rPr>
          <w:rFonts w:ascii="Symbol" w:hAnsi="Symbol" w:cs="Symbol"/>
          <w:vertAlign w:val="subscript"/>
        </w:rPr>
        <w:t></w:t>
      </w:r>
      <w:r>
        <w:rPr>
          <w:vertAlign w:val="subscript"/>
        </w:rPr>
        <w:t xml:space="preserve">n  </w:t>
      </w:r>
      <w:r>
        <w:rPr>
          <w:u w:val="single"/>
        </w:rPr>
        <w:t>&lt;</w:t>
      </w:r>
      <w:r>
        <w:t xml:space="preserve"> U</w:t>
      </w:r>
      <w:r>
        <w:rPr>
          <w:vertAlign w:val="subscript"/>
        </w:rPr>
        <w:t xml:space="preserve">L </w:t>
      </w:r>
    </w:p>
    <w:p w:rsidR="00177955" w:rsidRDefault="00177955">
      <w:r>
        <w:t>gdzie: R</w:t>
      </w:r>
      <w:r>
        <w:rPr>
          <w:vertAlign w:val="subscript"/>
        </w:rPr>
        <w:t>A</w:t>
      </w:r>
      <w:r>
        <w:t xml:space="preserve"> - całkowita rezystancja uziemienia uziomu i przewodu ochronnego łączącego </w:t>
      </w:r>
      <w:r>
        <w:br/>
      </w:r>
      <w:r>
        <w:tab/>
        <w:t xml:space="preserve">        części przewodzące dostępne z uziomem.</w:t>
      </w:r>
      <w:r>
        <w:br/>
      </w:r>
      <w:r>
        <w:tab/>
        <w:t xml:space="preserve"> I</w:t>
      </w:r>
      <w:r>
        <w:rPr>
          <w:rFonts w:ascii="Symbol" w:hAnsi="Symbol" w:cs="Symbol"/>
          <w:vertAlign w:val="subscript"/>
        </w:rPr>
        <w:t></w:t>
      </w:r>
      <w:r>
        <w:rPr>
          <w:vertAlign w:val="subscript"/>
        </w:rPr>
        <w:t xml:space="preserve">n </w:t>
      </w:r>
      <w:r>
        <w:t>- znamionowy różnicowy prąd zadziałania urządzenia ochronnego różnicowoprądowego.</w:t>
      </w:r>
      <w:r>
        <w:br/>
      </w:r>
      <w:r>
        <w:tab/>
        <w:t xml:space="preserve"> U</w:t>
      </w:r>
      <w:r>
        <w:rPr>
          <w:vertAlign w:val="subscript"/>
        </w:rPr>
        <w:t xml:space="preserve">L </w:t>
      </w:r>
      <w:r>
        <w:t xml:space="preserve">- najwyższa wartość napięcia dotykowego dopuszczalnego długotrwale w </w:t>
      </w:r>
      <w:r>
        <w:br/>
      </w:r>
      <w:r>
        <w:tab/>
        <w:t xml:space="preserve">       określonych warunkach otoczenia, które ma wartość:</w:t>
      </w:r>
      <w:r>
        <w:br/>
      </w:r>
      <w:r>
        <w:tab/>
      </w:r>
      <w:r>
        <w:tab/>
        <w:t>50 V - w normalnych warunkach</w:t>
      </w:r>
      <w:r>
        <w:br/>
      </w:r>
      <w:r>
        <w:tab/>
      </w:r>
      <w:r>
        <w:tab/>
        <w:t xml:space="preserve">25 V - w warunkach o zwiększonym niebezpieczeństwie porażenia. </w:t>
      </w:r>
    </w:p>
    <w:p w:rsidR="00177955" w:rsidRDefault="00177955">
      <w:r>
        <w:t>Jeżeli instalacja w układzie sieci TT zawiera większą liczbę obwodów chronionych urządzeniami ochronnymi różnicowoprądowymi ze wspólnym uziomem R</w:t>
      </w:r>
      <w:r>
        <w:rPr>
          <w:vertAlign w:val="subscript"/>
        </w:rPr>
        <w:t>A</w:t>
      </w:r>
      <w:r>
        <w:t>, można wówczas w przybliżeniu do wzoru wstawić w miejsce I</w:t>
      </w:r>
      <w:r>
        <w:rPr>
          <w:rFonts w:ascii="Symbol" w:hAnsi="Symbol" w:cs="Symbol"/>
          <w:vertAlign w:val="subscript"/>
        </w:rPr>
        <w:t></w:t>
      </w:r>
      <w:r>
        <w:rPr>
          <w:vertAlign w:val="subscript"/>
        </w:rPr>
        <w:t xml:space="preserve">n </w:t>
      </w:r>
      <w:r>
        <w:t>sumę prądów zadziałania przyłączonych urządzeń ochronnych różnicowoprądowych. Jednakże w praktyce nigdy nie zadziała równocześnie większa ilość urządzeń, najwyżej dwa lub trzy.</w:t>
      </w:r>
    </w:p>
    <w:p w:rsidR="00177955" w:rsidRDefault="00177955">
      <w:pPr>
        <w:rPr>
          <w:vertAlign w:val="subscript"/>
        </w:rPr>
      </w:pPr>
      <w:r>
        <w:rPr>
          <w:b/>
          <w:bCs/>
        </w:rPr>
        <w:t>- w układzie sieci IT</w:t>
      </w:r>
      <w:r>
        <w:t xml:space="preserve"> </w:t>
      </w:r>
      <w:r>
        <w:tab/>
      </w:r>
      <w:r>
        <w:tab/>
        <w:t xml:space="preserve"> R</w:t>
      </w:r>
      <w:r>
        <w:rPr>
          <w:vertAlign w:val="subscript"/>
        </w:rPr>
        <w:t xml:space="preserve">A </w:t>
      </w:r>
      <w:r>
        <w:t>x I</w:t>
      </w:r>
      <w:r>
        <w:rPr>
          <w:rFonts w:ascii="Symbol" w:hAnsi="Symbol" w:cs="Symbol"/>
          <w:vertAlign w:val="subscript"/>
        </w:rPr>
        <w:t></w:t>
      </w:r>
      <w:r>
        <w:rPr>
          <w:vertAlign w:val="subscript"/>
        </w:rPr>
        <w:t xml:space="preserve">n  </w:t>
      </w:r>
      <w:r>
        <w:rPr>
          <w:u w:val="single"/>
        </w:rPr>
        <w:t>&lt;</w:t>
      </w:r>
      <w:r>
        <w:t xml:space="preserve"> U</w:t>
      </w:r>
      <w:r>
        <w:rPr>
          <w:vertAlign w:val="subscript"/>
        </w:rPr>
        <w:t>L</w:t>
      </w:r>
    </w:p>
    <w:p w:rsidR="00177955" w:rsidRDefault="00177955">
      <w:r>
        <w:t>Powyższe wymaganie obowiązuje, jeżeli w instalacji stosowane jest urządzenie ochronne różnicowoprądowe działające na wyłączenie. przy pojedynczym zwarciu z ziemią.</w:t>
      </w:r>
    </w:p>
    <w:p w:rsidR="00177955" w:rsidRDefault="00177955">
      <w:r>
        <w:t>gdzie: R</w:t>
      </w:r>
      <w:r>
        <w:rPr>
          <w:vertAlign w:val="subscript"/>
        </w:rPr>
        <w:t>A</w:t>
      </w:r>
      <w:r>
        <w:t xml:space="preserve"> - całkowita rezystancja uziemienia uziomu i przewodu ochronnego łączącego części przewodzące dostępne z uziomem.</w:t>
      </w:r>
      <w:r>
        <w:br/>
      </w:r>
      <w:r>
        <w:tab/>
        <w:t>I</w:t>
      </w:r>
      <w:r>
        <w:rPr>
          <w:rFonts w:ascii="Symbol" w:hAnsi="Symbol" w:cs="Symbol"/>
          <w:vertAlign w:val="subscript"/>
        </w:rPr>
        <w:t></w:t>
      </w:r>
      <w:r>
        <w:rPr>
          <w:vertAlign w:val="subscript"/>
        </w:rPr>
        <w:t xml:space="preserve">n </w:t>
      </w:r>
      <w:r>
        <w:t xml:space="preserve">- znamionowy różnicowy prąd zadziałania urządzenia ochronnego </w:t>
      </w:r>
      <w:r>
        <w:br/>
        <w:t xml:space="preserve"> </w:t>
      </w:r>
      <w:r>
        <w:tab/>
        <w:t xml:space="preserve">różnicowoprądowego. Wartość tego prądu powinna być mniejsza od wartości </w:t>
      </w:r>
      <w:r>
        <w:br/>
        <w:t xml:space="preserve"> </w:t>
      </w:r>
      <w:r>
        <w:tab/>
        <w:t>prądu I</w:t>
      </w:r>
      <w:r>
        <w:rPr>
          <w:vertAlign w:val="subscript"/>
        </w:rPr>
        <w:t>d</w:t>
      </w:r>
      <w:r>
        <w:t xml:space="preserve"> pojedynczego zwarcia z ziemią w danej instalacji.</w:t>
      </w:r>
      <w:r>
        <w:br/>
      </w:r>
      <w:r>
        <w:tab/>
        <w:t>U</w:t>
      </w:r>
      <w:r>
        <w:rPr>
          <w:vertAlign w:val="subscript"/>
        </w:rPr>
        <w:t xml:space="preserve">L </w:t>
      </w:r>
      <w:r>
        <w:t xml:space="preserve">- najwyższa wartość napięcia dotykowego dopuszczalnego długotrwale w </w:t>
      </w:r>
      <w:r>
        <w:br/>
      </w:r>
      <w:r>
        <w:tab/>
        <w:t>określonych warunkach otoczenia.</w:t>
      </w:r>
    </w:p>
    <w:p w:rsidR="00177955" w:rsidRDefault="00177955">
      <w:r>
        <w:t>Jeżeli w instalacji stosowane jest urządzenie ochronne różnicowoprądowe działające na wyłączenie przy podwójnym zwarciu z ziemią to wymaganie jest następujące:</w:t>
      </w:r>
    </w:p>
    <w:p w:rsidR="00177955" w:rsidRDefault="00177955">
      <w:r>
        <w:tab/>
      </w:r>
      <w:r>
        <w:tab/>
        <w:t>Z</w:t>
      </w:r>
      <w:r>
        <w:rPr>
          <w:vertAlign w:val="subscript"/>
        </w:rPr>
        <w:t xml:space="preserve">S  </w:t>
      </w:r>
      <w:r>
        <w:rPr>
          <w:u w:val="single"/>
        </w:rPr>
        <w:t>&lt;</w:t>
      </w:r>
      <w:r>
        <w:t xml:space="preserve"> </w:t>
      </w:r>
      <w:r>
        <w:rPr>
          <w:position w:val="-30"/>
          <w:sz w:val="20"/>
          <w:szCs w:val="20"/>
        </w:rPr>
        <w:object w:dxaOrig="900" w:dyaOrig="740">
          <v:shape id="_x0000_i1030" type="#_x0000_t75" style="width:45pt;height:36.75pt" o:ole="" fillcolor="window">
            <v:imagedata r:id="rId14" o:title=""/>
          </v:shape>
          <o:OLEObject Type="Embed" ProgID="Equation.3" ShapeID="_x0000_i1030" DrawAspect="Content" ObjectID="_1671697920" r:id="rId15"/>
        </w:object>
      </w:r>
      <w:r>
        <w:t xml:space="preserve">   dla układu IT bez przewodu neutralnego</w:t>
      </w:r>
    </w:p>
    <w:p w:rsidR="00177955" w:rsidRDefault="00177955">
      <w:r>
        <w:tab/>
      </w:r>
      <w:r>
        <w:tab/>
        <w:t>Z</w:t>
      </w:r>
      <w:r>
        <w:rPr>
          <w:vertAlign w:val="subscript"/>
        </w:rPr>
        <w:t>S</w:t>
      </w:r>
      <w:r>
        <w:rPr>
          <w:vertAlign w:val="superscript"/>
        </w:rPr>
        <w:t xml:space="preserve">’  </w:t>
      </w:r>
      <w:r>
        <w:rPr>
          <w:u w:val="single"/>
        </w:rPr>
        <w:t>&lt;</w:t>
      </w:r>
      <w:r>
        <w:t xml:space="preserve">  </w:t>
      </w:r>
      <w:r>
        <w:rPr>
          <w:position w:val="-30"/>
          <w:sz w:val="20"/>
          <w:szCs w:val="20"/>
        </w:rPr>
        <w:object w:dxaOrig="740" w:dyaOrig="700">
          <v:shape id="_x0000_i1031" type="#_x0000_t75" style="width:36.75pt;height:35.25pt" o:ole="" fillcolor="window">
            <v:imagedata r:id="rId16" o:title=""/>
          </v:shape>
          <o:OLEObject Type="Embed" ProgID="Equation.3" ShapeID="_x0000_i1031" DrawAspect="Content" ObjectID="_1671697921" r:id="rId17"/>
        </w:object>
      </w:r>
      <w:r>
        <w:t xml:space="preserve"> dla układu IT z przewodem neutralnym</w:t>
      </w:r>
    </w:p>
    <w:p w:rsidR="00177955" w:rsidRDefault="00177955">
      <w:r>
        <w:t>gdzie: Z</w:t>
      </w:r>
      <w:r>
        <w:rPr>
          <w:vertAlign w:val="subscript"/>
        </w:rPr>
        <w:t xml:space="preserve">S </w:t>
      </w:r>
      <w:r>
        <w:t xml:space="preserve"> - impedancja pętli zwarcia, obejmująca przewód fazowy i przewód ochronny</w:t>
      </w:r>
      <w:r>
        <w:br/>
      </w:r>
      <w:r>
        <w:tab/>
        <w:t xml:space="preserve">       obwodu.</w:t>
      </w:r>
      <w:r>
        <w:br/>
      </w:r>
      <w:r>
        <w:tab/>
        <w:t>Z</w:t>
      </w:r>
      <w:r>
        <w:rPr>
          <w:vertAlign w:val="subscript"/>
        </w:rPr>
        <w:t>S</w:t>
      </w:r>
      <w:r>
        <w:rPr>
          <w:vertAlign w:val="superscript"/>
        </w:rPr>
        <w:t>’</w:t>
      </w:r>
      <w:r>
        <w:t xml:space="preserve"> - impedancja pętli zwarcia, obejmująca przewód neutralny i przewód </w:t>
      </w:r>
      <w:r>
        <w:br/>
        <w:t xml:space="preserve"> </w:t>
      </w:r>
      <w:r>
        <w:tab/>
        <w:t xml:space="preserve">       ochronny  obwodu.</w:t>
      </w:r>
      <w:r>
        <w:br/>
      </w:r>
      <w:r>
        <w:tab/>
        <w:t>I</w:t>
      </w:r>
      <w:r>
        <w:rPr>
          <w:rFonts w:ascii="Symbol" w:hAnsi="Symbol" w:cs="Symbol"/>
          <w:vertAlign w:val="subscript"/>
        </w:rPr>
        <w:t></w:t>
      </w:r>
      <w:r>
        <w:rPr>
          <w:vertAlign w:val="subscript"/>
        </w:rPr>
        <w:t xml:space="preserve">n </w:t>
      </w:r>
      <w:r>
        <w:t>- znamionowy różnicowy prąd zadziałania urządzenia ochronnego różnicowo-</w:t>
      </w:r>
      <w:r>
        <w:br/>
      </w:r>
      <w:r>
        <w:tab/>
        <w:t xml:space="preserve">       prądowego.</w:t>
      </w:r>
      <w:r>
        <w:br/>
      </w:r>
      <w:r>
        <w:tab/>
        <w:t xml:space="preserve"> U</w:t>
      </w:r>
      <w:r>
        <w:rPr>
          <w:vertAlign w:val="subscript"/>
        </w:rPr>
        <w:t xml:space="preserve">o </w:t>
      </w:r>
      <w:r>
        <w:t>- napięcie znamionowe względem ziemi.</w:t>
      </w:r>
    </w:p>
    <w:p w:rsidR="00177955" w:rsidRDefault="00177955">
      <w:r>
        <w:t>Wymaganie powyższe jest zawsze spełnione, bo prądy zwarć podwójnych są bardzo duże, wielokrotnie większe od znamionowych prądów zadziałania urządzeń ochronnych różnicowoprądowych.</w:t>
      </w:r>
    </w:p>
    <w:p w:rsidR="00177955" w:rsidRDefault="00177955">
      <w:pPr>
        <w:rPr>
          <w:vertAlign w:val="subscript"/>
        </w:rPr>
      </w:pPr>
      <w:r>
        <w:t>Przy doborze wyłączników ochronnych różnicowoprądowych należy przestrzegać zasady aby maksymalny roboczy prąd upływowy w miejscu jego zainstalowania był</w:t>
      </w:r>
      <w:r>
        <w:br/>
        <w:t xml:space="preserve"> 2-3-krotnie mniejszy od znamionowego różnicowego prądu zadziałania I</w:t>
      </w:r>
      <w:r>
        <w:rPr>
          <w:rFonts w:ascii="Symbol" w:hAnsi="Symbol" w:cs="Symbol"/>
          <w:vertAlign w:val="subscript"/>
        </w:rPr>
        <w:t></w:t>
      </w:r>
      <w:r>
        <w:rPr>
          <w:vertAlign w:val="subscript"/>
        </w:rPr>
        <w:t xml:space="preserve">n </w:t>
      </w:r>
    </w:p>
    <w:p w:rsidR="00177955" w:rsidRDefault="00177955">
      <w:pPr>
        <w:rPr>
          <w:b/>
          <w:bCs/>
        </w:rPr>
      </w:pPr>
      <w:r>
        <w:rPr>
          <w:b/>
          <w:bCs/>
        </w:rPr>
        <w:t>5.5 Wpływ temperatury otoczenia na wartość rezystancji uziemienia ochronnego</w:t>
      </w:r>
    </w:p>
    <w:p w:rsidR="00177955" w:rsidRDefault="00177955">
      <w:r>
        <w:t>W zależności od temperatury otoczenia w której będzie pracował wyłącznik różnicowoprądowy, należy stosować uziemienia ochronne R</w:t>
      </w:r>
      <w:r>
        <w:rPr>
          <w:vertAlign w:val="subscript"/>
        </w:rPr>
        <w:t>A</w:t>
      </w:r>
      <w:r>
        <w:t xml:space="preserve"> o odpowiedniej wartości. Maksymalne rezystancje uziemienia ochronnego R</w:t>
      </w:r>
      <w:r>
        <w:rPr>
          <w:vertAlign w:val="subscript"/>
        </w:rPr>
        <w:t xml:space="preserve">A  </w:t>
      </w:r>
      <w:r>
        <w:t xml:space="preserve">dla temperatury -5 </w:t>
      </w:r>
      <w:r>
        <w:rPr>
          <w:vertAlign w:val="superscript"/>
        </w:rPr>
        <w:t>o</w:t>
      </w:r>
      <w:r>
        <w:t xml:space="preserve">C i </w:t>
      </w:r>
      <w:r>
        <w:br/>
        <w:t xml:space="preserve">-25 </w:t>
      </w:r>
      <w:r>
        <w:rPr>
          <w:vertAlign w:val="superscript"/>
        </w:rPr>
        <w:t>o</w:t>
      </w:r>
      <w:r>
        <w:t>C podano w tabeli 5.2.</w:t>
      </w:r>
    </w:p>
    <w:p w:rsidR="00177955" w:rsidRDefault="00177955">
      <w:pPr>
        <w:spacing w:after="200" w:line="276" w:lineRule="auto"/>
      </w:pPr>
      <w:r>
        <w:br w:type="page"/>
      </w:r>
    </w:p>
    <w:p w:rsidR="00177955" w:rsidRDefault="00177955">
      <w:r>
        <w:t>Tabela 5.2. - Maksymalne rezystancje uziemienia ochronnego R</w:t>
      </w:r>
      <w:r>
        <w:rPr>
          <w:vertAlign w:val="subscript"/>
        </w:rPr>
        <w:t>A</w:t>
      </w:r>
      <w:r>
        <w:t xml:space="preserve"> w </w:t>
      </w:r>
      <w:r>
        <w:rPr>
          <w:rFonts w:ascii="Symbol" w:hAnsi="Symbol" w:cs="Symbol"/>
        </w:rPr>
        <w:t></w:t>
      </w:r>
      <w:r>
        <w:t xml:space="preserve"> dla wyłączników </w:t>
      </w:r>
      <w:r>
        <w:br/>
        <w:t xml:space="preserve">ochronnych różnicowoprądowych zwykłych i selektywnych w temperaturze -5 </w:t>
      </w:r>
      <w:r>
        <w:rPr>
          <w:vertAlign w:val="superscript"/>
        </w:rPr>
        <w:t>o</w:t>
      </w:r>
      <w:r>
        <w:t xml:space="preserve">C i </w:t>
      </w:r>
      <w:r>
        <w:br/>
        <w:t xml:space="preserve">-25 </w:t>
      </w:r>
      <w:r>
        <w:rPr>
          <w:vertAlign w:val="superscript"/>
        </w:rPr>
        <w:t>o</w:t>
      </w:r>
      <w:r>
        <w:t>C.</w:t>
      </w:r>
    </w:p>
    <w:tbl>
      <w:tblPr>
        <w:tblW w:w="0" w:type="auto"/>
        <w:tblInd w:w="2" w:type="dxa"/>
        <w:tblLayout w:type="fixed"/>
        <w:tblCellMar>
          <w:left w:w="70" w:type="dxa"/>
          <w:right w:w="70" w:type="dxa"/>
        </w:tblCellMar>
        <w:tblLook w:val="0000"/>
      </w:tblPr>
      <w:tblGrid>
        <w:gridCol w:w="1014"/>
        <w:gridCol w:w="993"/>
        <w:gridCol w:w="1026"/>
        <w:gridCol w:w="885"/>
        <w:gridCol w:w="885"/>
        <w:gridCol w:w="885"/>
        <w:gridCol w:w="885"/>
        <w:gridCol w:w="885"/>
        <w:gridCol w:w="885"/>
        <w:gridCol w:w="885"/>
      </w:tblGrid>
      <w:tr w:rsidR="00177955">
        <w:tblPrEx>
          <w:tblCellMar>
            <w:top w:w="0" w:type="dxa"/>
            <w:bottom w:w="0" w:type="dxa"/>
          </w:tblCellMar>
        </w:tblPrEx>
        <w:trPr>
          <w:cantSplit/>
        </w:trPr>
        <w:tc>
          <w:tcPr>
            <w:tcW w:w="1014" w:type="dxa"/>
            <w:tcBorders>
              <w:top w:val="single" w:sz="12" w:space="0" w:color="auto"/>
              <w:left w:val="single" w:sz="12" w:space="0" w:color="auto"/>
              <w:bottom w:val="single" w:sz="6" w:space="0" w:color="auto"/>
              <w:right w:val="single" w:sz="6" w:space="0" w:color="auto"/>
            </w:tcBorders>
          </w:tcPr>
          <w:p w:rsidR="00177955" w:rsidRDefault="00177955">
            <w:pPr>
              <w:jc w:val="center"/>
            </w:pPr>
            <w:r>
              <w:t>U</w:t>
            </w:r>
            <w:r>
              <w:rPr>
                <w:vertAlign w:val="subscript"/>
              </w:rPr>
              <w:t>L</w:t>
            </w:r>
            <w:r>
              <w:t xml:space="preserve">  / I</w:t>
            </w:r>
            <w:r>
              <w:rPr>
                <w:rFonts w:ascii="Symbol" w:hAnsi="Symbol" w:cs="Symbol"/>
                <w:vertAlign w:val="subscript"/>
              </w:rPr>
              <w:t></w:t>
            </w:r>
            <w:r>
              <w:rPr>
                <w:vertAlign w:val="subscript"/>
              </w:rPr>
              <w:t>n</w:t>
            </w:r>
          </w:p>
        </w:tc>
        <w:tc>
          <w:tcPr>
            <w:tcW w:w="993" w:type="dxa"/>
            <w:tcBorders>
              <w:top w:val="single" w:sz="12" w:space="0" w:color="auto"/>
              <w:left w:val="single" w:sz="12" w:space="0" w:color="auto"/>
              <w:bottom w:val="single" w:sz="6" w:space="0" w:color="auto"/>
              <w:right w:val="single" w:sz="6" w:space="0" w:color="auto"/>
            </w:tcBorders>
          </w:tcPr>
          <w:p w:rsidR="00177955" w:rsidRDefault="00177955">
            <w:pPr>
              <w:jc w:val="center"/>
            </w:pPr>
            <w:r>
              <w:t>T</w:t>
            </w:r>
            <w:r>
              <w:rPr>
                <w:vertAlign w:val="subscript"/>
              </w:rPr>
              <w:t>o min</w:t>
            </w:r>
          </w:p>
        </w:tc>
        <w:tc>
          <w:tcPr>
            <w:tcW w:w="1026" w:type="dxa"/>
            <w:tcBorders>
              <w:top w:val="single" w:sz="12" w:space="0" w:color="auto"/>
              <w:left w:val="single" w:sz="6" w:space="0" w:color="auto"/>
              <w:bottom w:val="single" w:sz="6" w:space="0" w:color="auto"/>
              <w:right w:val="single" w:sz="6" w:space="0" w:color="auto"/>
            </w:tcBorders>
          </w:tcPr>
          <w:p w:rsidR="00177955" w:rsidRDefault="00177955">
            <w:pPr>
              <w:jc w:val="center"/>
            </w:pPr>
            <w:r>
              <w:t>0,01</w:t>
            </w:r>
          </w:p>
        </w:tc>
        <w:tc>
          <w:tcPr>
            <w:tcW w:w="885" w:type="dxa"/>
            <w:tcBorders>
              <w:top w:val="single" w:sz="12" w:space="0" w:color="auto"/>
              <w:left w:val="single" w:sz="6" w:space="0" w:color="auto"/>
              <w:bottom w:val="single" w:sz="6" w:space="0" w:color="auto"/>
              <w:right w:val="single" w:sz="6" w:space="0" w:color="auto"/>
            </w:tcBorders>
          </w:tcPr>
          <w:p w:rsidR="00177955" w:rsidRDefault="00177955">
            <w:pPr>
              <w:jc w:val="center"/>
            </w:pPr>
            <w:r>
              <w:t>0,03</w:t>
            </w:r>
          </w:p>
        </w:tc>
        <w:tc>
          <w:tcPr>
            <w:tcW w:w="885" w:type="dxa"/>
            <w:tcBorders>
              <w:top w:val="single" w:sz="12" w:space="0" w:color="auto"/>
              <w:left w:val="single" w:sz="6" w:space="0" w:color="auto"/>
              <w:bottom w:val="single" w:sz="6" w:space="0" w:color="auto"/>
              <w:right w:val="single" w:sz="6" w:space="0" w:color="auto"/>
            </w:tcBorders>
          </w:tcPr>
          <w:p w:rsidR="00177955" w:rsidRDefault="00177955">
            <w:pPr>
              <w:jc w:val="center"/>
            </w:pPr>
            <w:r>
              <w:t>0,1</w:t>
            </w:r>
          </w:p>
        </w:tc>
        <w:tc>
          <w:tcPr>
            <w:tcW w:w="885" w:type="dxa"/>
            <w:tcBorders>
              <w:top w:val="single" w:sz="12" w:space="0" w:color="auto"/>
              <w:left w:val="single" w:sz="6" w:space="0" w:color="auto"/>
              <w:bottom w:val="single" w:sz="6" w:space="0" w:color="auto"/>
              <w:right w:val="single" w:sz="6" w:space="0" w:color="auto"/>
            </w:tcBorders>
          </w:tcPr>
          <w:p w:rsidR="00177955" w:rsidRDefault="00177955">
            <w:pPr>
              <w:jc w:val="center"/>
            </w:pPr>
            <w:r>
              <w:t>0,3</w:t>
            </w:r>
          </w:p>
        </w:tc>
        <w:tc>
          <w:tcPr>
            <w:tcW w:w="885" w:type="dxa"/>
            <w:tcBorders>
              <w:top w:val="single" w:sz="12" w:space="0" w:color="auto"/>
              <w:left w:val="single" w:sz="6" w:space="0" w:color="auto"/>
              <w:bottom w:val="single" w:sz="6" w:space="0" w:color="auto"/>
              <w:right w:val="nil"/>
            </w:tcBorders>
          </w:tcPr>
          <w:p w:rsidR="00177955" w:rsidRDefault="00177955">
            <w:pPr>
              <w:jc w:val="center"/>
            </w:pPr>
            <w:r>
              <w:t>0,5</w:t>
            </w:r>
          </w:p>
        </w:tc>
        <w:tc>
          <w:tcPr>
            <w:tcW w:w="885" w:type="dxa"/>
            <w:tcBorders>
              <w:top w:val="single" w:sz="12" w:space="0" w:color="auto"/>
              <w:left w:val="single" w:sz="12" w:space="0" w:color="auto"/>
              <w:bottom w:val="single" w:sz="6" w:space="0" w:color="auto"/>
              <w:right w:val="single" w:sz="6" w:space="0" w:color="auto"/>
            </w:tcBorders>
          </w:tcPr>
          <w:p w:rsidR="00177955" w:rsidRDefault="00177955">
            <w:pPr>
              <w:jc w:val="center"/>
            </w:pPr>
            <w:r>
              <w:t>0,3</w:t>
            </w:r>
          </w:p>
        </w:tc>
        <w:tc>
          <w:tcPr>
            <w:tcW w:w="885" w:type="dxa"/>
            <w:tcBorders>
              <w:top w:val="single" w:sz="12" w:space="0" w:color="auto"/>
              <w:left w:val="single" w:sz="6" w:space="0" w:color="auto"/>
              <w:bottom w:val="single" w:sz="6" w:space="0" w:color="auto"/>
              <w:right w:val="single" w:sz="6" w:space="0" w:color="auto"/>
            </w:tcBorders>
          </w:tcPr>
          <w:p w:rsidR="00177955" w:rsidRDefault="00177955">
            <w:pPr>
              <w:jc w:val="center"/>
            </w:pPr>
            <w:r>
              <w:t>0,5</w:t>
            </w:r>
          </w:p>
        </w:tc>
        <w:tc>
          <w:tcPr>
            <w:tcW w:w="885" w:type="dxa"/>
            <w:tcBorders>
              <w:top w:val="single" w:sz="12" w:space="0" w:color="auto"/>
              <w:left w:val="single" w:sz="6" w:space="0" w:color="auto"/>
              <w:bottom w:val="single" w:sz="6" w:space="0" w:color="auto"/>
              <w:right w:val="single" w:sz="12" w:space="0" w:color="auto"/>
            </w:tcBorders>
          </w:tcPr>
          <w:p w:rsidR="00177955" w:rsidRDefault="00177955">
            <w:pPr>
              <w:jc w:val="center"/>
            </w:pPr>
            <w:r>
              <w:t>1 A</w:t>
            </w:r>
          </w:p>
        </w:tc>
      </w:tr>
      <w:tr w:rsidR="00177955">
        <w:tblPrEx>
          <w:tblCellMar>
            <w:top w:w="0" w:type="dxa"/>
            <w:bottom w:w="0" w:type="dxa"/>
          </w:tblCellMar>
        </w:tblPrEx>
        <w:trPr>
          <w:cantSplit/>
        </w:trPr>
        <w:tc>
          <w:tcPr>
            <w:tcW w:w="1014" w:type="dxa"/>
            <w:tcBorders>
              <w:top w:val="single" w:sz="6" w:space="0" w:color="auto"/>
              <w:left w:val="single" w:sz="12" w:space="0" w:color="auto"/>
              <w:bottom w:val="single" w:sz="6" w:space="0" w:color="auto"/>
              <w:right w:val="single" w:sz="6" w:space="0" w:color="auto"/>
            </w:tcBorders>
          </w:tcPr>
          <w:p w:rsidR="00177955" w:rsidRDefault="00177955">
            <w:pPr>
              <w:jc w:val="center"/>
            </w:pPr>
            <w:r>
              <w:t>25 V</w:t>
            </w:r>
          </w:p>
        </w:tc>
        <w:tc>
          <w:tcPr>
            <w:tcW w:w="993" w:type="dxa"/>
            <w:tcBorders>
              <w:top w:val="single" w:sz="6" w:space="0" w:color="auto"/>
              <w:left w:val="single" w:sz="12" w:space="0" w:color="auto"/>
              <w:bottom w:val="single" w:sz="6" w:space="0" w:color="auto"/>
              <w:right w:val="single" w:sz="6" w:space="0" w:color="auto"/>
            </w:tcBorders>
          </w:tcPr>
          <w:p w:rsidR="00177955" w:rsidRDefault="00177955">
            <w:pPr>
              <w:jc w:val="center"/>
            </w:pPr>
            <w:r>
              <w:t xml:space="preserve">- 5 </w:t>
            </w:r>
            <w:r>
              <w:rPr>
                <w:vertAlign w:val="superscript"/>
              </w:rPr>
              <w:t xml:space="preserve">o </w:t>
            </w:r>
            <w:r>
              <w:t>C</w:t>
            </w:r>
          </w:p>
        </w:tc>
        <w:tc>
          <w:tcPr>
            <w:tcW w:w="1026" w:type="dxa"/>
            <w:tcBorders>
              <w:top w:val="single" w:sz="6" w:space="0" w:color="auto"/>
              <w:left w:val="single" w:sz="6" w:space="0" w:color="auto"/>
              <w:bottom w:val="single" w:sz="6" w:space="0" w:color="auto"/>
              <w:right w:val="single" w:sz="6" w:space="0" w:color="auto"/>
            </w:tcBorders>
          </w:tcPr>
          <w:p w:rsidR="00177955" w:rsidRDefault="00177955">
            <w:pPr>
              <w:jc w:val="center"/>
            </w:pPr>
            <w:r>
              <w:t>2500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830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250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80</w:t>
            </w:r>
          </w:p>
        </w:tc>
        <w:tc>
          <w:tcPr>
            <w:tcW w:w="885" w:type="dxa"/>
            <w:tcBorders>
              <w:top w:val="single" w:sz="6" w:space="0" w:color="auto"/>
              <w:left w:val="single" w:sz="6" w:space="0" w:color="auto"/>
              <w:bottom w:val="single" w:sz="6" w:space="0" w:color="auto"/>
              <w:right w:val="nil"/>
            </w:tcBorders>
          </w:tcPr>
          <w:p w:rsidR="00177955" w:rsidRDefault="00177955">
            <w:pPr>
              <w:jc w:val="center"/>
            </w:pPr>
            <w:r>
              <w:t>50</w:t>
            </w:r>
          </w:p>
        </w:tc>
        <w:tc>
          <w:tcPr>
            <w:tcW w:w="885" w:type="dxa"/>
            <w:tcBorders>
              <w:top w:val="single" w:sz="6" w:space="0" w:color="auto"/>
              <w:left w:val="single" w:sz="12" w:space="0" w:color="auto"/>
              <w:bottom w:val="single" w:sz="6" w:space="0" w:color="auto"/>
              <w:right w:val="single" w:sz="6" w:space="0" w:color="auto"/>
            </w:tcBorders>
          </w:tcPr>
          <w:p w:rsidR="00177955" w:rsidRDefault="00177955">
            <w:pPr>
              <w:jc w:val="center"/>
            </w:pPr>
            <w:r>
              <w:t>41,7</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25</w:t>
            </w:r>
          </w:p>
        </w:tc>
        <w:tc>
          <w:tcPr>
            <w:tcW w:w="885" w:type="dxa"/>
            <w:tcBorders>
              <w:top w:val="single" w:sz="6" w:space="0" w:color="auto"/>
              <w:left w:val="single" w:sz="6" w:space="0" w:color="auto"/>
              <w:bottom w:val="single" w:sz="6" w:space="0" w:color="auto"/>
              <w:right w:val="single" w:sz="12" w:space="0" w:color="auto"/>
            </w:tcBorders>
          </w:tcPr>
          <w:p w:rsidR="00177955" w:rsidRDefault="00177955">
            <w:pPr>
              <w:jc w:val="center"/>
            </w:pPr>
            <w:r>
              <w:t>12,5</w:t>
            </w:r>
          </w:p>
        </w:tc>
      </w:tr>
      <w:tr w:rsidR="00177955">
        <w:tblPrEx>
          <w:tblCellMar>
            <w:top w:w="0" w:type="dxa"/>
            <w:bottom w:w="0" w:type="dxa"/>
          </w:tblCellMar>
        </w:tblPrEx>
        <w:trPr>
          <w:cantSplit/>
        </w:trPr>
        <w:tc>
          <w:tcPr>
            <w:tcW w:w="1014" w:type="dxa"/>
            <w:tcBorders>
              <w:top w:val="single" w:sz="6" w:space="0" w:color="auto"/>
              <w:left w:val="single" w:sz="12" w:space="0" w:color="auto"/>
              <w:bottom w:val="single" w:sz="6" w:space="0" w:color="auto"/>
              <w:right w:val="single" w:sz="6" w:space="0" w:color="auto"/>
            </w:tcBorders>
          </w:tcPr>
          <w:p w:rsidR="00177955" w:rsidRDefault="00177955">
            <w:pPr>
              <w:jc w:val="center"/>
            </w:pPr>
            <w:r>
              <w:t>50 V</w:t>
            </w:r>
          </w:p>
        </w:tc>
        <w:tc>
          <w:tcPr>
            <w:tcW w:w="993" w:type="dxa"/>
            <w:tcBorders>
              <w:top w:val="single" w:sz="6" w:space="0" w:color="auto"/>
              <w:left w:val="single" w:sz="12" w:space="0" w:color="auto"/>
              <w:bottom w:val="single" w:sz="6" w:space="0" w:color="auto"/>
              <w:right w:val="single" w:sz="6" w:space="0" w:color="auto"/>
            </w:tcBorders>
          </w:tcPr>
          <w:p w:rsidR="00177955" w:rsidRDefault="00177955">
            <w:pPr>
              <w:jc w:val="center"/>
            </w:pPr>
            <w:r>
              <w:t xml:space="preserve">- 5 </w:t>
            </w:r>
            <w:r>
              <w:rPr>
                <w:vertAlign w:val="superscript"/>
              </w:rPr>
              <w:t xml:space="preserve">o </w:t>
            </w:r>
            <w:r>
              <w:t>C</w:t>
            </w:r>
          </w:p>
        </w:tc>
        <w:tc>
          <w:tcPr>
            <w:tcW w:w="1026" w:type="dxa"/>
            <w:tcBorders>
              <w:top w:val="single" w:sz="6" w:space="0" w:color="auto"/>
              <w:left w:val="single" w:sz="6" w:space="0" w:color="auto"/>
              <w:bottom w:val="single" w:sz="6" w:space="0" w:color="auto"/>
              <w:right w:val="single" w:sz="6" w:space="0" w:color="auto"/>
            </w:tcBorders>
          </w:tcPr>
          <w:p w:rsidR="00177955" w:rsidRDefault="00177955">
            <w:pPr>
              <w:jc w:val="center"/>
            </w:pPr>
            <w:r>
              <w:t>5000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1660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500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166</w:t>
            </w:r>
          </w:p>
        </w:tc>
        <w:tc>
          <w:tcPr>
            <w:tcW w:w="885" w:type="dxa"/>
            <w:tcBorders>
              <w:top w:val="single" w:sz="6" w:space="0" w:color="auto"/>
              <w:left w:val="single" w:sz="6" w:space="0" w:color="auto"/>
              <w:bottom w:val="single" w:sz="6" w:space="0" w:color="auto"/>
              <w:right w:val="nil"/>
            </w:tcBorders>
          </w:tcPr>
          <w:p w:rsidR="00177955" w:rsidRDefault="00177955">
            <w:pPr>
              <w:jc w:val="center"/>
            </w:pPr>
            <w:r>
              <w:t>100</w:t>
            </w:r>
          </w:p>
        </w:tc>
        <w:tc>
          <w:tcPr>
            <w:tcW w:w="885" w:type="dxa"/>
            <w:tcBorders>
              <w:top w:val="single" w:sz="6" w:space="0" w:color="auto"/>
              <w:left w:val="single" w:sz="12" w:space="0" w:color="auto"/>
              <w:bottom w:val="single" w:sz="6" w:space="0" w:color="auto"/>
              <w:right w:val="single" w:sz="6" w:space="0" w:color="auto"/>
            </w:tcBorders>
          </w:tcPr>
          <w:p w:rsidR="00177955" w:rsidRDefault="00177955">
            <w:pPr>
              <w:jc w:val="center"/>
            </w:pPr>
            <w:r>
              <w:t>83,3</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50</w:t>
            </w:r>
          </w:p>
        </w:tc>
        <w:tc>
          <w:tcPr>
            <w:tcW w:w="885" w:type="dxa"/>
            <w:tcBorders>
              <w:top w:val="single" w:sz="6" w:space="0" w:color="auto"/>
              <w:left w:val="single" w:sz="6" w:space="0" w:color="auto"/>
              <w:bottom w:val="single" w:sz="6" w:space="0" w:color="auto"/>
              <w:right w:val="single" w:sz="12" w:space="0" w:color="auto"/>
            </w:tcBorders>
          </w:tcPr>
          <w:p w:rsidR="00177955" w:rsidRDefault="00177955">
            <w:pPr>
              <w:jc w:val="center"/>
            </w:pPr>
            <w:r>
              <w:t>25</w:t>
            </w:r>
          </w:p>
        </w:tc>
      </w:tr>
      <w:tr w:rsidR="00177955">
        <w:tblPrEx>
          <w:tblCellMar>
            <w:top w:w="0" w:type="dxa"/>
            <w:bottom w:w="0" w:type="dxa"/>
          </w:tblCellMar>
        </w:tblPrEx>
        <w:trPr>
          <w:cantSplit/>
        </w:trPr>
        <w:tc>
          <w:tcPr>
            <w:tcW w:w="1014" w:type="dxa"/>
            <w:tcBorders>
              <w:top w:val="single" w:sz="6" w:space="0" w:color="auto"/>
              <w:left w:val="single" w:sz="12" w:space="0" w:color="auto"/>
              <w:bottom w:val="single" w:sz="6" w:space="0" w:color="auto"/>
              <w:right w:val="single" w:sz="6" w:space="0" w:color="auto"/>
            </w:tcBorders>
          </w:tcPr>
          <w:p w:rsidR="00177955" w:rsidRDefault="00177955">
            <w:pPr>
              <w:jc w:val="center"/>
            </w:pPr>
            <w:r>
              <w:t>25 V</w:t>
            </w:r>
          </w:p>
        </w:tc>
        <w:tc>
          <w:tcPr>
            <w:tcW w:w="993" w:type="dxa"/>
            <w:tcBorders>
              <w:top w:val="single" w:sz="6" w:space="0" w:color="auto"/>
              <w:left w:val="single" w:sz="12" w:space="0" w:color="auto"/>
              <w:bottom w:val="single" w:sz="6" w:space="0" w:color="auto"/>
              <w:right w:val="single" w:sz="6" w:space="0" w:color="auto"/>
            </w:tcBorders>
          </w:tcPr>
          <w:p w:rsidR="00177955" w:rsidRDefault="00177955">
            <w:pPr>
              <w:jc w:val="center"/>
            </w:pPr>
            <w:r>
              <w:t xml:space="preserve">- 25 </w:t>
            </w:r>
            <w:r>
              <w:rPr>
                <w:vertAlign w:val="superscript"/>
              </w:rPr>
              <w:t xml:space="preserve">o </w:t>
            </w:r>
            <w:r>
              <w:t>C</w:t>
            </w:r>
          </w:p>
        </w:tc>
        <w:tc>
          <w:tcPr>
            <w:tcW w:w="1026" w:type="dxa"/>
            <w:tcBorders>
              <w:top w:val="single" w:sz="6" w:space="0" w:color="auto"/>
              <w:left w:val="single" w:sz="6" w:space="0" w:color="auto"/>
              <w:bottom w:val="single" w:sz="6" w:space="0" w:color="auto"/>
              <w:right w:val="single" w:sz="6" w:space="0" w:color="auto"/>
            </w:tcBorders>
          </w:tcPr>
          <w:p w:rsidR="00177955" w:rsidRDefault="00177955">
            <w:pPr>
              <w:jc w:val="center"/>
            </w:pPr>
            <w:r>
              <w:t>2000</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660</w:t>
            </w:r>
          </w:p>
        </w:tc>
        <w:tc>
          <w:tcPr>
            <w:tcW w:w="885" w:type="dxa"/>
            <w:tcBorders>
              <w:top w:val="single" w:sz="6" w:space="0" w:color="auto"/>
              <w:left w:val="single" w:sz="6" w:space="0" w:color="auto"/>
              <w:bottom w:val="single" w:sz="6" w:space="0" w:color="auto"/>
              <w:right w:val="single" w:sz="4" w:space="0" w:color="auto"/>
            </w:tcBorders>
          </w:tcPr>
          <w:p w:rsidR="00177955" w:rsidRDefault="00177955">
            <w:pPr>
              <w:jc w:val="center"/>
            </w:pPr>
            <w:r>
              <w:t>200</w:t>
            </w:r>
          </w:p>
        </w:tc>
        <w:tc>
          <w:tcPr>
            <w:tcW w:w="885" w:type="dxa"/>
            <w:tcBorders>
              <w:top w:val="single" w:sz="6" w:space="0" w:color="auto"/>
              <w:left w:val="single" w:sz="4" w:space="0" w:color="auto"/>
              <w:bottom w:val="single" w:sz="6" w:space="0" w:color="auto"/>
              <w:right w:val="single" w:sz="6" w:space="0" w:color="auto"/>
            </w:tcBorders>
          </w:tcPr>
          <w:p w:rsidR="00177955" w:rsidRDefault="00177955">
            <w:pPr>
              <w:jc w:val="center"/>
            </w:pPr>
            <w:r>
              <w:t>60</w:t>
            </w:r>
          </w:p>
        </w:tc>
        <w:tc>
          <w:tcPr>
            <w:tcW w:w="885" w:type="dxa"/>
            <w:tcBorders>
              <w:top w:val="single" w:sz="6" w:space="0" w:color="auto"/>
              <w:left w:val="single" w:sz="6" w:space="0" w:color="auto"/>
              <w:bottom w:val="single" w:sz="4" w:space="0" w:color="auto"/>
              <w:right w:val="nil"/>
            </w:tcBorders>
          </w:tcPr>
          <w:p w:rsidR="00177955" w:rsidRDefault="00177955">
            <w:pPr>
              <w:jc w:val="center"/>
            </w:pPr>
            <w:r>
              <w:t>40</w:t>
            </w:r>
          </w:p>
        </w:tc>
        <w:tc>
          <w:tcPr>
            <w:tcW w:w="885" w:type="dxa"/>
            <w:tcBorders>
              <w:top w:val="single" w:sz="6" w:space="0" w:color="auto"/>
              <w:left w:val="single" w:sz="12" w:space="0" w:color="auto"/>
              <w:bottom w:val="single" w:sz="6" w:space="0" w:color="auto"/>
              <w:right w:val="single" w:sz="6" w:space="0" w:color="auto"/>
            </w:tcBorders>
          </w:tcPr>
          <w:p w:rsidR="00177955" w:rsidRDefault="00177955">
            <w:pPr>
              <w:jc w:val="center"/>
            </w:pPr>
            <w:r>
              <w:t>33,4</w:t>
            </w:r>
          </w:p>
        </w:tc>
        <w:tc>
          <w:tcPr>
            <w:tcW w:w="885" w:type="dxa"/>
            <w:tcBorders>
              <w:top w:val="single" w:sz="6" w:space="0" w:color="auto"/>
              <w:left w:val="single" w:sz="6" w:space="0" w:color="auto"/>
              <w:bottom w:val="single" w:sz="6" w:space="0" w:color="auto"/>
              <w:right w:val="single" w:sz="6" w:space="0" w:color="auto"/>
            </w:tcBorders>
          </w:tcPr>
          <w:p w:rsidR="00177955" w:rsidRDefault="00177955">
            <w:pPr>
              <w:jc w:val="center"/>
            </w:pPr>
            <w:r>
              <w:t>20</w:t>
            </w:r>
          </w:p>
        </w:tc>
        <w:tc>
          <w:tcPr>
            <w:tcW w:w="885" w:type="dxa"/>
            <w:tcBorders>
              <w:top w:val="single" w:sz="6" w:space="0" w:color="auto"/>
              <w:left w:val="single" w:sz="6" w:space="0" w:color="auto"/>
              <w:bottom w:val="single" w:sz="6" w:space="0" w:color="auto"/>
              <w:right w:val="single" w:sz="12" w:space="0" w:color="auto"/>
            </w:tcBorders>
          </w:tcPr>
          <w:p w:rsidR="00177955" w:rsidRDefault="00177955">
            <w:pPr>
              <w:jc w:val="center"/>
            </w:pPr>
            <w:r>
              <w:t>10</w:t>
            </w:r>
          </w:p>
        </w:tc>
      </w:tr>
      <w:tr w:rsidR="00177955">
        <w:tblPrEx>
          <w:tblCellMar>
            <w:top w:w="0" w:type="dxa"/>
            <w:bottom w:w="0" w:type="dxa"/>
          </w:tblCellMar>
        </w:tblPrEx>
        <w:trPr>
          <w:cantSplit/>
        </w:trPr>
        <w:tc>
          <w:tcPr>
            <w:tcW w:w="1014" w:type="dxa"/>
            <w:tcBorders>
              <w:top w:val="single" w:sz="6" w:space="0" w:color="auto"/>
              <w:left w:val="single" w:sz="12" w:space="0" w:color="auto"/>
              <w:bottom w:val="single" w:sz="12" w:space="0" w:color="auto"/>
              <w:right w:val="single" w:sz="6" w:space="0" w:color="auto"/>
            </w:tcBorders>
          </w:tcPr>
          <w:p w:rsidR="00177955" w:rsidRDefault="00177955">
            <w:pPr>
              <w:jc w:val="center"/>
            </w:pPr>
            <w:r>
              <w:t>50 V</w:t>
            </w:r>
          </w:p>
        </w:tc>
        <w:tc>
          <w:tcPr>
            <w:tcW w:w="993" w:type="dxa"/>
            <w:tcBorders>
              <w:top w:val="single" w:sz="6" w:space="0" w:color="auto"/>
              <w:left w:val="single" w:sz="12" w:space="0" w:color="auto"/>
              <w:bottom w:val="single" w:sz="12" w:space="0" w:color="auto"/>
              <w:right w:val="single" w:sz="6" w:space="0" w:color="auto"/>
            </w:tcBorders>
          </w:tcPr>
          <w:p w:rsidR="00177955" w:rsidRDefault="00177955">
            <w:pPr>
              <w:jc w:val="center"/>
            </w:pPr>
            <w:r>
              <w:t xml:space="preserve">- 25 </w:t>
            </w:r>
            <w:r>
              <w:rPr>
                <w:vertAlign w:val="superscript"/>
              </w:rPr>
              <w:t xml:space="preserve">o </w:t>
            </w:r>
            <w:r>
              <w:t>C</w:t>
            </w:r>
          </w:p>
        </w:tc>
        <w:tc>
          <w:tcPr>
            <w:tcW w:w="1026" w:type="dxa"/>
            <w:tcBorders>
              <w:top w:val="single" w:sz="6" w:space="0" w:color="auto"/>
              <w:left w:val="single" w:sz="6" w:space="0" w:color="auto"/>
              <w:bottom w:val="single" w:sz="12" w:space="0" w:color="auto"/>
              <w:right w:val="single" w:sz="6" w:space="0" w:color="auto"/>
            </w:tcBorders>
          </w:tcPr>
          <w:p w:rsidR="00177955" w:rsidRDefault="00177955">
            <w:pPr>
              <w:jc w:val="center"/>
            </w:pPr>
            <w:r>
              <w:t>4000</w:t>
            </w:r>
          </w:p>
        </w:tc>
        <w:tc>
          <w:tcPr>
            <w:tcW w:w="885" w:type="dxa"/>
            <w:tcBorders>
              <w:top w:val="single" w:sz="6" w:space="0" w:color="auto"/>
              <w:left w:val="single" w:sz="6" w:space="0" w:color="auto"/>
              <w:bottom w:val="single" w:sz="12" w:space="0" w:color="auto"/>
              <w:right w:val="single" w:sz="6" w:space="0" w:color="auto"/>
            </w:tcBorders>
          </w:tcPr>
          <w:p w:rsidR="00177955" w:rsidRDefault="00177955">
            <w:pPr>
              <w:jc w:val="center"/>
            </w:pPr>
            <w:r>
              <w:t>1330</w:t>
            </w:r>
          </w:p>
        </w:tc>
        <w:tc>
          <w:tcPr>
            <w:tcW w:w="885" w:type="dxa"/>
            <w:tcBorders>
              <w:top w:val="single" w:sz="6" w:space="0" w:color="auto"/>
              <w:left w:val="single" w:sz="6" w:space="0" w:color="auto"/>
              <w:bottom w:val="single" w:sz="12" w:space="0" w:color="auto"/>
              <w:right w:val="single" w:sz="4" w:space="0" w:color="auto"/>
            </w:tcBorders>
          </w:tcPr>
          <w:p w:rsidR="00177955" w:rsidRDefault="00177955">
            <w:pPr>
              <w:jc w:val="center"/>
            </w:pPr>
            <w:r>
              <w:t>400</w:t>
            </w:r>
          </w:p>
        </w:tc>
        <w:tc>
          <w:tcPr>
            <w:tcW w:w="885" w:type="dxa"/>
            <w:tcBorders>
              <w:top w:val="single" w:sz="6" w:space="0" w:color="auto"/>
              <w:left w:val="single" w:sz="4" w:space="0" w:color="auto"/>
              <w:bottom w:val="single" w:sz="12" w:space="0" w:color="auto"/>
              <w:right w:val="single" w:sz="6" w:space="0" w:color="auto"/>
            </w:tcBorders>
          </w:tcPr>
          <w:p w:rsidR="00177955" w:rsidRDefault="00177955">
            <w:pPr>
              <w:jc w:val="center"/>
            </w:pPr>
            <w:r>
              <w:t>130</w:t>
            </w:r>
          </w:p>
        </w:tc>
        <w:tc>
          <w:tcPr>
            <w:tcW w:w="885" w:type="dxa"/>
            <w:tcBorders>
              <w:top w:val="single" w:sz="4" w:space="0" w:color="auto"/>
              <w:left w:val="single" w:sz="6" w:space="0" w:color="auto"/>
              <w:bottom w:val="single" w:sz="12" w:space="0" w:color="auto"/>
              <w:right w:val="nil"/>
            </w:tcBorders>
          </w:tcPr>
          <w:p w:rsidR="00177955" w:rsidRDefault="00177955">
            <w:pPr>
              <w:jc w:val="center"/>
            </w:pPr>
            <w:r>
              <w:t>80</w:t>
            </w:r>
          </w:p>
        </w:tc>
        <w:tc>
          <w:tcPr>
            <w:tcW w:w="885" w:type="dxa"/>
            <w:tcBorders>
              <w:top w:val="single" w:sz="6" w:space="0" w:color="auto"/>
              <w:left w:val="single" w:sz="12" w:space="0" w:color="auto"/>
              <w:bottom w:val="single" w:sz="12" w:space="0" w:color="auto"/>
              <w:right w:val="single" w:sz="6" w:space="0" w:color="auto"/>
            </w:tcBorders>
          </w:tcPr>
          <w:p w:rsidR="00177955" w:rsidRDefault="00177955">
            <w:pPr>
              <w:jc w:val="center"/>
            </w:pPr>
            <w:r>
              <w:t>66,6</w:t>
            </w:r>
          </w:p>
        </w:tc>
        <w:tc>
          <w:tcPr>
            <w:tcW w:w="885" w:type="dxa"/>
            <w:tcBorders>
              <w:top w:val="single" w:sz="6" w:space="0" w:color="auto"/>
              <w:left w:val="single" w:sz="6" w:space="0" w:color="auto"/>
              <w:bottom w:val="single" w:sz="12" w:space="0" w:color="auto"/>
              <w:right w:val="single" w:sz="6" w:space="0" w:color="auto"/>
            </w:tcBorders>
          </w:tcPr>
          <w:p w:rsidR="00177955" w:rsidRDefault="00177955">
            <w:pPr>
              <w:jc w:val="center"/>
            </w:pPr>
            <w:r>
              <w:t>40</w:t>
            </w:r>
          </w:p>
        </w:tc>
        <w:tc>
          <w:tcPr>
            <w:tcW w:w="885" w:type="dxa"/>
            <w:tcBorders>
              <w:top w:val="single" w:sz="6" w:space="0" w:color="auto"/>
              <w:left w:val="single" w:sz="6" w:space="0" w:color="auto"/>
              <w:bottom w:val="single" w:sz="12" w:space="0" w:color="auto"/>
              <w:right w:val="single" w:sz="12" w:space="0" w:color="auto"/>
            </w:tcBorders>
          </w:tcPr>
          <w:p w:rsidR="00177955" w:rsidRDefault="00177955">
            <w:pPr>
              <w:jc w:val="center"/>
            </w:pPr>
            <w:r>
              <w:t>20</w:t>
            </w:r>
          </w:p>
        </w:tc>
      </w:tr>
    </w:tbl>
    <w:p w:rsidR="00177955" w:rsidRDefault="00177955">
      <w:pPr>
        <w:ind w:left="6372" w:hanging="5667"/>
        <w:rPr>
          <w:vertAlign w:val="subscript"/>
        </w:rPr>
      </w:pPr>
      <w:r>
        <w:t>wyłączniki bezzwłoczne I</w:t>
      </w:r>
      <w:r>
        <w:rPr>
          <w:vertAlign w:val="subscript"/>
        </w:rPr>
        <w:t>a</w:t>
      </w:r>
      <w:r>
        <w:t xml:space="preserve"> = I</w:t>
      </w:r>
      <w:r>
        <w:rPr>
          <w:rFonts w:ascii="Symbol" w:hAnsi="Symbol" w:cs="Symbol"/>
          <w:vertAlign w:val="subscript"/>
        </w:rPr>
        <w:t></w:t>
      </w:r>
      <w:r>
        <w:rPr>
          <w:vertAlign w:val="subscript"/>
        </w:rPr>
        <w:t>n</w:t>
      </w:r>
      <w:r>
        <w:t xml:space="preserve"> </w:t>
      </w:r>
      <w:r>
        <w:tab/>
        <w:t xml:space="preserve">  wyłączniki selektywne S,  </w:t>
      </w:r>
      <w:r>
        <w:br/>
        <w:t xml:space="preserve">           I</w:t>
      </w:r>
      <w:r>
        <w:rPr>
          <w:vertAlign w:val="subscript"/>
        </w:rPr>
        <w:t>a</w:t>
      </w:r>
      <w:r>
        <w:t xml:space="preserve"> = 2I</w:t>
      </w:r>
      <w:r>
        <w:rPr>
          <w:rFonts w:ascii="Symbol" w:hAnsi="Symbol" w:cs="Symbol"/>
          <w:vertAlign w:val="subscript"/>
        </w:rPr>
        <w:t></w:t>
      </w:r>
      <w:r>
        <w:rPr>
          <w:vertAlign w:val="subscript"/>
        </w:rPr>
        <w:t>n</w:t>
      </w:r>
    </w:p>
    <w:p w:rsidR="00177955" w:rsidRDefault="00177955">
      <w:pPr>
        <w:pBdr>
          <w:left w:val="single" w:sz="4" w:space="0" w:color="auto"/>
          <w:right w:val="single" w:sz="4" w:space="4" w:color="auto"/>
        </w:pBdr>
      </w:pPr>
      <w:r>
        <w:t>W zależności od: - znamionowego różnicowego prądu zadziałania I</w:t>
      </w:r>
      <w:r>
        <w:rPr>
          <w:vertAlign w:val="subscript"/>
        </w:rPr>
        <w:sym w:font="Symbol" w:char="F044"/>
      </w:r>
      <w:r>
        <w:rPr>
          <w:vertAlign w:val="subscript"/>
        </w:rPr>
        <w:t>n</w:t>
      </w:r>
      <w:r>
        <w:t xml:space="preserve">, </w:t>
      </w:r>
      <w:r>
        <w:br/>
      </w:r>
      <w:r>
        <w:tab/>
      </w:r>
      <w:r>
        <w:tab/>
        <w:t xml:space="preserve">      - od wartości napięcia dotykowego dopuszczalnego długotrwale U</w:t>
      </w:r>
      <w:r>
        <w:rPr>
          <w:vertAlign w:val="subscript"/>
        </w:rPr>
        <w:t>L</w:t>
      </w:r>
      <w:r>
        <w:t>,</w:t>
      </w:r>
      <w:r>
        <w:tab/>
      </w:r>
      <w:r>
        <w:tab/>
      </w:r>
      <w:r>
        <w:tab/>
        <w:t xml:space="preserve">      - minimalnej temperatury T</w:t>
      </w:r>
      <w:r>
        <w:rPr>
          <w:vertAlign w:val="subscript"/>
        </w:rPr>
        <w:t xml:space="preserve">o min </w:t>
      </w:r>
      <w:r>
        <w:t>,</w:t>
      </w:r>
      <w:r>
        <w:br/>
        <w:t xml:space="preserve"> wartość teoretyczna rezystancji uziemienia ochronnego R</w:t>
      </w:r>
      <w:r>
        <w:rPr>
          <w:vertAlign w:val="subscript"/>
        </w:rPr>
        <w:t>A</w:t>
      </w:r>
      <w:r>
        <w:t xml:space="preserve"> w sieci TT nie może przekraczać wartości podanych w tabeli  5.2.</w:t>
      </w:r>
    </w:p>
    <w:p w:rsidR="00177955" w:rsidRDefault="00177955">
      <w:r>
        <w:t xml:space="preserve">Praktycznie, celem zagwarantowania niezawodności ochrony przeciwporażeniowej, </w:t>
      </w:r>
      <w:r>
        <w:br/>
        <w:t xml:space="preserve">uziemienie ochronne powinno być trwałe i niezawodne. W praktyce największa wartość rezystancji uziemienia nie powinna przekraczać 10 </w:t>
      </w:r>
      <w:r>
        <w:rPr>
          <w:rFonts w:ascii="Symbol" w:hAnsi="Symbol" w:cs="Symbol"/>
        </w:rPr>
        <w:t></w:t>
      </w:r>
      <w:r>
        <w:t xml:space="preserve">, ewentualnie 50 </w:t>
      </w:r>
      <w:r>
        <w:rPr>
          <w:rFonts w:ascii="Symbol" w:hAnsi="Symbol" w:cs="Symbol"/>
        </w:rPr>
        <w:t></w:t>
      </w:r>
      <w:r>
        <w:t xml:space="preserve"> w niekorzystnych warunkach uziemieniowych.</w:t>
      </w:r>
    </w:p>
    <w:p w:rsidR="00177955" w:rsidRDefault="00177955">
      <w:pPr>
        <w:rPr>
          <w:b/>
          <w:bCs/>
        </w:rPr>
      </w:pPr>
      <w:r>
        <w:rPr>
          <w:b/>
          <w:bCs/>
        </w:rPr>
        <w:t>6. Wymagane parametry urządzeń piorunochronnych</w:t>
      </w:r>
    </w:p>
    <w:p w:rsidR="00177955" w:rsidRDefault="00177955">
      <w:pPr>
        <w:pStyle w:val="BodyText"/>
        <w:spacing w:after="120"/>
        <w:rPr>
          <w:sz w:val="24"/>
          <w:szCs w:val="24"/>
        </w:rPr>
      </w:pPr>
      <w:r>
        <w:rPr>
          <w:sz w:val="24"/>
          <w:szCs w:val="24"/>
        </w:rPr>
        <w:t>W nowej normie PN-EN 62305-3:2011P Ochrona odgromowa – część 3: “Uszkodzenia fizyczne obiektu i zagrożenia” podane są wymagane obecnie rezystancje uziemień oraz omawiane jest sprawdzanie i badania urządzeń piorunochronnych – LPS, obejmujące oględziny uzupełnione:</w:t>
      </w:r>
    </w:p>
    <w:p w:rsidR="00177955" w:rsidRDefault="00177955">
      <w:pPr>
        <w:pStyle w:val="BodyText"/>
        <w:widowControl/>
        <w:numPr>
          <w:ilvl w:val="0"/>
          <w:numId w:val="4"/>
        </w:numPr>
        <w:tabs>
          <w:tab w:val="clear" w:pos="851"/>
          <w:tab w:val="clear" w:pos="1500"/>
          <w:tab w:val="num" w:pos="540"/>
        </w:tabs>
        <w:spacing w:before="0" w:after="120"/>
        <w:ind w:left="540"/>
        <w:rPr>
          <w:sz w:val="24"/>
          <w:szCs w:val="24"/>
        </w:rPr>
      </w:pPr>
      <w:r>
        <w:rPr>
          <w:sz w:val="24"/>
          <w:szCs w:val="24"/>
        </w:rPr>
        <w:t>sprawdzeniem ciągłości, szczególnie tych części LPS, które nie były widoczne podczas instalacji i które nie są dostępne do oględzin obecnie;</w:t>
      </w:r>
    </w:p>
    <w:p w:rsidR="00177955" w:rsidRDefault="00177955">
      <w:pPr>
        <w:pStyle w:val="BodyText"/>
        <w:widowControl/>
        <w:numPr>
          <w:ilvl w:val="0"/>
          <w:numId w:val="4"/>
        </w:numPr>
        <w:tabs>
          <w:tab w:val="clear" w:pos="851"/>
          <w:tab w:val="clear" w:pos="1500"/>
          <w:tab w:val="num" w:pos="540"/>
        </w:tabs>
        <w:spacing w:before="0" w:after="120"/>
        <w:ind w:left="540"/>
        <w:rPr>
          <w:sz w:val="24"/>
          <w:szCs w:val="24"/>
        </w:rPr>
      </w:pPr>
      <w:r>
        <w:rPr>
          <w:sz w:val="24"/>
          <w:szCs w:val="24"/>
        </w:rPr>
        <w:t xml:space="preserve">.przeprowadzeniem pomiaru rezystancji uziemienia układu uziomów. Każdy lokalny uziom powinien być poddany pomiarom oddzielnie, przy rozłączonym zacisku kontrolnym. Jeżeli rezystancja względem ziemi układu uziomów, jako całości </w:t>
      </w:r>
      <w:r>
        <w:rPr>
          <w:b/>
          <w:bCs/>
          <w:sz w:val="24"/>
          <w:szCs w:val="24"/>
        </w:rPr>
        <w:t xml:space="preserve">przekracza 10 </w:t>
      </w:r>
      <w:r>
        <w:rPr>
          <w:rFonts w:ascii="Symbol" w:hAnsi="Symbol" w:cs="Symbol"/>
          <w:b/>
          <w:bCs/>
          <w:sz w:val="24"/>
          <w:szCs w:val="24"/>
        </w:rPr>
        <w:t></w:t>
      </w:r>
      <w:r>
        <w:rPr>
          <w:sz w:val="24"/>
          <w:szCs w:val="24"/>
        </w:rPr>
        <w:t xml:space="preserve"> to należy skontrolować czy uziom spełnia wymaganie minimalnej długości zgodnie z klasą LPS, określone na rysunku przedstawionym jako rys. 6.1 poniżej. </w:t>
      </w:r>
    </w:p>
    <w:p w:rsidR="00177955" w:rsidRDefault="00177955">
      <w:pPr>
        <w:pStyle w:val="BodyText"/>
        <w:spacing w:after="60"/>
        <w:rPr>
          <w:b/>
          <w:bCs/>
        </w:rPr>
      </w:pPr>
      <w:r>
        <w:rPr>
          <w:b/>
          <w:bCs/>
        </w:rPr>
        <w:t>6.1. Określanie minimalnej długość l uziomu</w:t>
      </w:r>
    </w:p>
    <w:p w:rsidR="00177955" w:rsidRDefault="00177955">
      <w:pPr>
        <w:pStyle w:val="BodyText"/>
        <w:spacing w:after="60"/>
        <w:rPr>
          <w:sz w:val="24"/>
          <w:szCs w:val="24"/>
        </w:rPr>
      </w:pPr>
      <w:r>
        <w:rPr>
          <w:sz w:val="24"/>
          <w:szCs w:val="24"/>
        </w:rPr>
        <w:t>Biorąc pod uwagę tylko kryterium długości uziomu zgodne z rysunkiem w układach uziomowych typu A lub typu B, minimalna długość każdego uziomu od podstawy przewodu odprowadzającego powinna być równa :</w:t>
      </w:r>
    </w:p>
    <w:p w:rsidR="00177955" w:rsidRDefault="00177955">
      <w:pPr>
        <w:pStyle w:val="BodyText"/>
        <w:numPr>
          <w:ilvl w:val="0"/>
          <w:numId w:val="5"/>
        </w:numPr>
        <w:spacing w:after="60"/>
        <w:rPr>
          <w:sz w:val="24"/>
          <w:szCs w:val="24"/>
        </w:rPr>
      </w:pPr>
      <w:r>
        <w:rPr>
          <w:sz w:val="24"/>
          <w:szCs w:val="24"/>
        </w:rPr>
        <w:t>l</w:t>
      </w:r>
      <w:r>
        <w:rPr>
          <w:sz w:val="24"/>
          <w:szCs w:val="24"/>
          <w:vertAlign w:val="subscript"/>
        </w:rPr>
        <w:t>1</w:t>
      </w:r>
      <w:r>
        <w:rPr>
          <w:sz w:val="24"/>
          <w:szCs w:val="24"/>
        </w:rPr>
        <w:t xml:space="preserve"> dla uziomów poziomych lub</w:t>
      </w:r>
    </w:p>
    <w:p w:rsidR="00177955" w:rsidRDefault="00177955">
      <w:pPr>
        <w:pStyle w:val="BodyText"/>
        <w:numPr>
          <w:ilvl w:val="0"/>
          <w:numId w:val="5"/>
        </w:numPr>
        <w:spacing w:after="60"/>
        <w:rPr>
          <w:sz w:val="24"/>
          <w:szCs w:val="24"/>
        </w:rPr>
      </w:pPr>
      <w:r>
        <w:rPr>
          <w:sz w:val="24"/>
          <w:szCs w:val="24"/>
        </w:rPr>
        <w:t>0,5l</w:t>
      </w:r>
      <w:r>
        <w:rPr>
          <w:sz w:val="24"/>
          <w:szCs w:val="24"/>
          <w:vertAlign w:val="subscript"/>
        </w:rPr>
        <w:t>1</w:t>
      </w:r>
      <w:r>
        <w:rPr>
          <w:sz w:val="24"/>
          <w:szCs w:val="24"/>
        </w:rPr>
        <w:t xml:space="preserve"> dla uziomów pionowych lub nachylonych.</w:t>
      </w:r>
    </w:p>
    <w:p w:rsidR="00177955" w:rsidRDefault="00177955">
      <w:pPr>
        <w:pStyle w:val="BodyText"/>
        <w:spacing w:after="60"/>
        <w:rPr>
          <w:sz w:val="24"/>
          <w:szCs w:val="24"/>
        </w:rPr>
      </w:pPr>
      <w:r>
        <w:rPr>
          <w:sz w:val="24"/>
          <w:szCs w:val="24"/>
        </w:rPr>
        <w:t>Przy stosowaniu uziomów złożonych (poziomych i pionowych) należy brać pod uwagę ich sumaryczną długość. Ilość uziomów w obiekcie nie powinna być mniejsza niż 2.</w:t>
      </w:r>
    </w:p>
    <w:p w:rsidR="00177955" w:rsidRDefault="00177955">
      <w:pPr>
        <w:pStyle w:val="BodyText"/>
        <w:widowControl/>
        <w:tabs>
          <w:tab w:val="clear" w:pos="851"/>
        </w:tabs>
        <w:spacing w:before="0" w:after="120"/>
        <w:rPr>
          <w:sz w:val="24"/>
          <w:szCs w:val="24"/>
        </w:rPr>
      </w:pPr>
    </w:p>
    <w:p w:rsidR="00177955" w:rsidRDefault="00177955">
      <w:pPr>
        <w:pStyle w:val="BodyText"/>
        <w:widowControl/>
        <w:tabs>
          <w:tab w:val="clear" w:pos="851"/>
        </w:tabs>
        <w:spacing w:before="0" w:after="120"/>
        <w:jc w:val="center"/>
      </w:pPr>
      <w:r>
        <w:rPr>
          <w:noProof/>
          <w:sz w:val="20"/>
          <w:szCs w:val="20"/>
        </w:rPr>
        <w:pict>
          <v:shape id="Obraz 4" o:spid="_x0000_i1032" type="#_x0000_t75" style="width:443.25pt;height:269.25pt;visibility:visible" fillcolor="window">
            <v:imagedata r:id="rId18" o:title=""/>
          </v:shape>
        </w:pict>
      </w:r>
    </w:p>
    <w:p w:rsidR="00177955" w:rsidRDefault="00177955">
      <w:pPr>
        <w:pStyle w:val="BodyText"/>
        <w:widowControl/>
        <w:tabs>
          <w:tab w:val="clear" w:pos="851"/>
        </w:tabs>
        <w:spacing w:before="0" w:after="120"/>
        <w:jc w:val="center"/>
      </w:pPr>
      <w:r>
        <w:t xml:space="preserve">Rysunek 6.1 - Minimalna długość l każdego uziomu zgodnie z klasą LPS. </w:t>
      </w:r>
    </w:p>
    <w:p w:rsidR="00177955" w:rsidRDefault="00177955">
      <w:pPr>
        <w:pStyle w:val="BodyText"/>
        <w:spacing w:after="60"/>
        <w:rPr>
          <w:b/>
          <w:bCs/>
        </w:rPr>
      </w:pPr>
      <w:r>
        <w:rPr>
          <w:b/>
          <w:bCs/>
        </w:rPr>
        <w:t>6.2. Typy uziomów wg. PN-EN 62305-3</w:t>
      </w:r>
    </w:p>
    <w:p w:rsidR="00177955" w:rsidRDefault="00177955">
      <w:pPr>
        <w:pStyle w:val="BodyText"/>
        <w:spacing w:after="60"/>
        <w:rPr>
          <w:b/>
          <w:bCs/>
        </w:rPr>
      </w:pPr>
      <w:r>
        <w:rPr>
          <w:b/>
          <w:bCs/>
          <w:noProof/>
          <w:sz w:val="20"/>
          <w:szCs w:val="20"/>
        </w:rPr>
        <w:pict>
          <v:shape id="Obraz 1" o:spid="_x0000_i1033" type="#_x0000_t75" alt="typy uziomów.jpg" style="width:468.75pt;height:193.5pt;visibility:visible" fillcolor="window">
            <v:imagedata r:id="rId19" o:title="" croptop="6254f"/>
          </v:shape>
        </w:pict>
      </w:r>
    </w:p>
    <w:p w:rsidR="00177955" w:rsidRDefault="00177955">
      <w:pPr>
        <w:spacing w:after="60"/>
        <w:rPr>
          <w:b/>
          <w:bCs/>
        </w:rPr>
      </w:pPr>
      <w:r>
        <w:rPr>
          <w:b/>
          <w:bCs/>
        </w:rPr>
        <w:t>6.3. Stare wymagania dotyczące wartości rezystancji uziemień odgromowych</w:t>
      </w:r>
    </w:p>
    <w:p w:rsidR="00177955" w:rsidRDefault="00177955">
      <w:pPr>
        <w:spacing w:after="60"/>
      </w:pPr>
      <w:r>
        <w:t>Wymagania dotyczące wartości rezystancji uziemień odgromowych podane w normach PN-E 5003 dotyczących ochrony odgromowej są różne, zależą od charakteru i ważności chronionego obiektu. Wartości te dotyczą instalacji wykonanych przed rokiem 2008 zgodnie z zasadą ochrony zastanej.</w:t>
      </w:r>
    </w:p>
    <w:p w:rsidR="00177955" w:rsidRDefault="00177955">
      <w:pPr>
        <w:rPr>
          <w:b/>
          <w:bCs/>
        </w:rPr>
      </w:pPr>
      <w:r>
        <w:rPr>
          <w:b/>
          <w:bCs/>
        </w:rPr>
        <w:t>6.3.1. Zasada ochrony zastanej</w:t>
      </w:r>
    </w:p>
    <w:p w:rsidR="00177955" w:rsidRDefault="00177955">
      <w:r>
        <w:t>Instalacje i urządzenia wykonane w czasie obowiązywania poprzednich przepisów mogą być eksploatowane z godnie z wymaganiami tych przepisów do przebudowy, do remontu generalnego lub do śmierci technicznej instalacji. Zgodnie z tą zasadą stare instalacje piorunochronne mogą spełniać łagodniejsze wymagania starej normy.</w:t>
      </w:r>
    </w:p>
    <w:p w:rsidR="00177955" w:rsidRDefault="00177955">
      <w:pPr>
        <w:spacing w:after="60"/>
      </w:pPr>
      <w:r>
        <w:t>Największe dopuszczalne wartości rezystancji uziomów odgromowych wynoszą:</w:t>
      </w:r>
    </w:p>
    <w:p w:rsidR="00177955" w:rsidRDefault="00177955">
      <w:pPr>
        <w:numPr>
          <w:ilvl w:val="0"/>
          <w:numId w:val="6"/>
        </w:numPr>
        <w:tabs>
          <w:tab w:val="clear" w:pos="720"/>
          <w:tab w:val="num" w:pos="480"/>
        </w:tabs>
        <w:spacing w:after="60"/>
        <w:ind w:left="600" w:hanging="480"/>
      </w:pPr>
      <w:r>
        <w:t>dla uziomów poziomych, pionowych i mieszanych oraz stóp fundamentowych w zależności od rodzaju gruntu:</w:t>
      </w:r>
    </w:p>
    <w:p w:rsidR="00177955" w:rsidRDefault="00177955">
      <w:pPr>
        <w:numPr>
          <w:ilvl w:val="1"/>
          <w:numId w:val="6"/>
        </w:numPr>
        <w:tabs>
          <w:tab w:val="clear" w:pos="1440"/>
          <w:tab w:val="num" w:pos="284"/>
        </w:tabs>
        <w:spacing w:after="60"/>
        <w:ind w:left="284" w:hanging="284"/>
      </w:pPr>
      <w:r>
        <w:t xml:space="preserve">dla gruntu podmokłego, bagiennego, próchniczego, torfiastego, gliniastego: -10 Ω </w:t>
      </w:r>
    </w:p>
    <w:p w:rsidR="00177955" w:rsidRDefault="00177955">
      <w:pPr>
        <w:numPr>
          <w:ilvl w:val="1"/>
          <w:numId w:val="6"/>
        </w:numPr>
        <w:tabs>
          <w:tab w:val="clear" w:pos="1440"/>
          <w:tab w:val="num" w:pos="480"/>
        </w:tabs>
        <w:spacing w:after="60"/>
        <w:ind w:left="600" w:hanging="480"/>
      </w:pPr>
      <w:r>
        <w:t>dla wszystkich pośrednich rodzajów gruntu – 20 Ω,</w:t>
      </w:r>
    </w:p>
    <w:p w:rsidR="00177955" w:rsidRDefault="00177955">
      <w:pPr>
        <w:numPr>
          <w:ilvl w:val="1"/>
          <w:numId w:val="6"/>
        </w:numPr>
        <w:tabs>
          <w:tab w:val="clear" w:pos="1440"/>
          <w:tab w:val="num" w:pos="480"/>
        </w:tabs>
        <w:spacing w:after="60"/>
        <w:ind w:left="600" w:hanging="480"/>
      </w:pPr>
      <w:r>
        <w:t>dla gruntu kamienistego skalistego – 40 Ω,</w:t>
      </w:r>
    </w:p>
    <w:p w:rsidR="00177955" w:rsidRDefault="00177955">
      <w:pPr>
        <w:numPr>
          <w:ilvl w:val="0"/>
          <w:numId w:val="6"/>
        </w:numPr>
        <w:tabs>
          <w:tab w:val="clear" w:pos="720"/>
          <w:tab w:val="num" w:pos="480"/>
        </w:tabs>
        <w:spacing w:after="60"/>
        <w:ind w:left="600" w:hanging="480"/>
      </w:pPr>
      <w:r>
        <w:t>dla uziomów otokowych i ław fundamentowych:</w:t>
      </w:r>
    </w:p>
    <w:p w:rsidR="00177955" w:rsidRDefault="00177955">
      <w:pPr>
        <w:numPr>
          <w:ilvl w:val="1"/>
          <w:numId w:val="6"/>
        </w:numPr>
        <w:tabs>
          <w:tab w:val="clear" w:pos="1440"/>
          <w:tab w:val="num" w:pos="284"/>
        </w:tabs>
        <w:spacing w:after="60"/>
        <w:ind w:left="284" w:hanging="284"/>
      </w:pPr>
      <w:r>
        <w:t xml:space="preserve">dla gruntu podmokłego, bagiennego, próchniczego, torfiastego, gliniastego: -15Ω </w:t>
      </w:r>
    </w:p>
    <w:p w:rsidR="00177955" w:rsidRDefault="00177955">
      <w:pPr>
        <w:numPr>
          <w:ilvl w:val="1"/>
          <w:numId w:val="6"/>
        </w:numPr>
        <w:tabs>
          <w:tab w:val="clear" w:pos="1440"/>
          <w:tab w:val="num" w:pos="480"/>
        </w:tabs>
        <w:spacing w:after="60"/>
        <w:ind w:left="600" w:hanging="480"/>
      </w:pPr>
      <w:r>
        <w:t>dla wszystkich pośrednich rodzajów gruntu – 30 Ω,</w:t>
      </w:r>
    </w:p>
    <w:p w:rsidR="00177955" w:rsidRDefault="00177955">
      <w:pPr>
        <w:numPr>
          <w:ilvl w:val="0"/>
          <w:numId w:val="7"/>
        </w:numPr>
        <w:tabs>
          <w:tab w:val="clear" w:pos="1620"/>
          <w:tab w:val="num" w:pos="480"/>
          <w:tab w:val="num" w:pos="900"/>
        </w:tabs>
        <w:spacing w:after="60"/>
        <w:ind w:left="600" w:hanging="480"/>
      </w:pPr>
      <w:r>
        <w:t>dla gruntu kamienistego skalistego – 50 Ω,</w:t>
      </w:r>
    </w:p>
    <w:p w:rsidR="00177955" w:rsidRDefault="00177955">
      <w:pPr>
        <w:spacing w:after="60"/>
      </w:pPr>
      <w:r>
        <w:t>Wypadkowa wartość rezystancji wszystkich uziomów obiektu nie może być większa niż:</w:t>
      </w:r>
    </w:p>
    <w:p w:rsidR="00177955" w:rsidRDefault="00177955">
      <w:pPr>
        <w:spacing w:after="60"/>
        <w:ind w:left="284"/>
      </w:pPr>
      <w:r>
        <w:t xml:space="preserve">a) dla uziomów poziomych, pionowych i mieszanych oraz stóp fundamentowych w </w:t>
      </w:r>
      <w:r>
        <w:br/>
        <w:t xml:space="preserve">    zależności od rodzaju gruntu:</w:t>
      </w:r>
    </w:p>
    <w:p w:rsidR="00177955" w:rsidRDefault="00177955">
      <w:pPr>
        <w:numPr>
          <w:ilvl w:val="0"/>
          <w:numId w:val="7"/>
        </w:numPr>
        <w:spacing w:after="60"/>
        <w:ind w:left="284"/>
      </w:pPr>
      <w:r>
        <w:t>dla gruntu kamienistego skalistego – 15 Ω,</w:t>
      </w:r>
    </w:p>
    <w:p w:rsidR="00177955" w:rsidRDefault="00177955">
      <w:pPr>
        <w:numPr>
          <w:ilvl w:val="0"/>
          <w:numId w:val="7"/>
        </w:numPr>
        <w:spacing w:after="60"/>
        <w:ind w:left="284"/>
      </w:pPr>
      <w:r>
        <w:t>dla pozostałych rodzajów gruntu – 7 Ω,</w:t>
      </w:r>
    </w:p>
    <w:p w:rsidR="00177955" w:rsidRDefault="00177955">
      <w:pPr>
        <w:spacing w:after="60"/>
        <w:ind w:left="284"/>
      </w:pPr>
      <w:r>
        <w:t>b) dla uziomów otokowych i ław fundamentowych:</w:t>
      </w:r>
    </w:p>
    <w:p w:rsidR="00177955" w:rsidRDefault="00177955">
      <w:pPr>
        <w:numPr>
          <w:ilvl w:val="0"/>
          <w:numId w:val="7"/>
        </w:numPr>
        <w:spacing w:after="60"/>
        <w:ind w:left="284"/>
      </w:pPr>
      <w:r>
        <w:t>dla gruntu kamienistego skalistego – 15Ω,</w:t>
      </w:r>
    </w:p>
    <w:p w:rsidR="00177955" w:rsidRDefault="00177955">
      <w:pPr>
        <w:numPr>
          <w:ilvl w:val="0"/>
          <w:numId w:val="7"/>
        </w:numPr>
        <w:tabs>
          <w:tab w:val="clear" w:pos="1620"/>
          <w:tab w:val="num" w:pos="709"/>
        </w:tabs>
        <w:spacing w:after="60"/>
        <w:ind w:left="709" w:hanging="567"/>
      </w:pPr>
      <w:r>
        <w:t>dla pozostałych rodzajów gruntu – 10 Ω,</w:t>
      </w:r>
    </w:p>
    <w:p w:rsidR="00177955" w:rsidRDefault="00177955">
      <w:pPr>
        <w:spacing w:after="200" w:line="276" w:lineRule="auto"/>
        <w:rPr>
          <w:b/>
          <w:bCs/>
        </w:rPr>
      </w:pPr>
    </w:p>
    <w:p w:rsidR="00177955" w:rsidRDefault="00177955">
      <w:pPr>
        <w:spacing w:after="60"/>
        <w:rPr>
          <w:b/>
          <w:bCs/>
        </w:rPr>
      </w:pPr>
      <w:r>
        <w:rPr>
          <w:b/>
          <w:bCs/>
        </w:rPr>
        <w:t>6.4. Przykłady błędów w instalacjach piorunochronnych</w:t>
      </w:r>
    </w:p>
    <w:p w:rsidR="00177955" w:rsidRDefault="00177955">
      <w:pPr>
        <w:pStyle w:val="Default"/>
        <w:rPr>
          <w:sz w:val="22"/>
          <w:szCs w:val="22"/>
        </w:rPr>
      </w:pPr>
      <w:r>
        <w:t xml:space="preserve">Polski komitet ochrony odgromowej SEP w Warszawie  ul. Świętokrzyska 14a, wydał  Informację o niektórych rozwiązaniach ochrony odgromowej, zasługujących na dyskwalifikację, podpisaną przez </w:t>
      </w:r>
      <w:r>
        <w:rPr>
          <w:sz w:val="22"/>
          <w:szCs w:val="22"/>
        </w:rPr>
        <w:t xml:space="preserve">Prof. dr hab. inż. Zdobysława Flisowskiego </w:t>
      </w:r>
    </w:p>
    <w:p w:rsidR="00177955" w:rsidRDefault="00177955">
      <w:pPr>
        <w:pStyle w:val="Default"/>
        <w:ind w:left="360"/>
      </w:pPr>
      <w:r>
        <w:rPr>
          <w:sz w:val="22"/>
          <w:szCs w:val="22"/>
        </w:rPr>
        <w:t>Przewodniczącego PKOO SEP i Przewodniczącego KT 55 przy PKN.</w:t>
      </w:r>
    </w:p>
    <w:p w:rsidR="00177955" w:rsidRDefault="00177955">
      <w:pPr>
        <w:pStyle w:val="Default"/>
      </w:pPr>
      <w:r>
        <w:t xml:space="preserve">Brak fachowości z zakresu ochrony odgromowej wśród wykonawców i </w:t>
      </w:r>
      <w:r>
        <w:rPr>
          <w:b/>
          <w:bCs/>
        </w:rPr>
        <w:t xml:space="preserve">inspektorów nadzoru budowlanego </w:t>
      </w:r>
      <w:r>
        <w:t xml:space="preserve">sprawia, że odbierane są urządzenia zasługujące na dyskwalifikację; </w:t>
      </w:r>
    </w:p>
    <w:p w:rsidR="00177955" w:rsidRDefault="00177955">
      <w:pPr>
        <w:pStyle w:val="Default"/>
        <w:jc w:val="center"/>
        <w:rPr>
          <w:sz w:val="22"/>
          <w:szCs w:val="22"/>
        </w:rPr>
      </w:pPr>
      <w:r>
        <w:rPr>
          <w:noProof/>
          <w:sz w:val="20"/>
          <w:szCs w:val="20"/>
        </w:rPr>
        <w:pict>
          <v:shape id="_x0000_i1034" type="#_x0000_t75" style="width:262.5pt;height:287.25pt;visibility:visible" fillcolor="window">
            <v:imagedata r:id="rId20" o:title=""/>
          </v:shape>
        </w:pict>
      </w:r>
    </w:p>
    <w:p w:rsidR="00177955" w:rsidRDefault="00177955">
      <w:pPr>
        <w:pStyle w:val="Default"/>
        <w:jc w:val="center"/>
        <w:rPr>
          <w:sz w:val="22"/>
          <w:szCs w:val="22"/>
        </w:rPr>
      </w:pPr>
    </w:p>
    <w:p w:rsidR="00177955" w:rsidRDefault="00177955">
      <w:pPr>
        <w:pStyle w:val="Default"/>
        <w:spacing w:after="120"/>
        <w:jc w:val="center"/>
      </w:pPr>
      <w:r>
        <w:t>Rysunek 6.1. przedstawia, brak dostępu do zacisku instalacji ukrytej pod styropianem,</w:t>
      </w:r>
    </w:p>
    <w:p w:rsidR="00177955" w:rsidRDefault="00177955">
      <w:pPr>
        <w:pStyle w:val="Default"/>
        <w:jc w:val="center"/>
        <w:rPr>
          <w:sz w:val="22"/>
          <w:szCs w:val="22"/>
        </w:rPr>
      </w:pPr>
    </w:p>
    <w:p w:rsidR="00177955" w:rsidRDefault="00177955">
      <w:pPr>
        <w:pStyle w:val="Default"/>
        <w:jc w:val="center"/>
      </w:pPr>
      <w:r>
        <w:rPr>
          <w:noProof/>
          <w:sz w:val="20"/>
          <w:szCs w:val="20"/>
        </w:rPr>
        <w:pict>
          <v:shape id="Obraz 5" o:spid="_x0000_i1035" type="#_x0000_t75" style="width:395.25pt;height:359.25pt;visibility:visible" fillcolor="window">
            <v:imagedata r:id="rId21" o:title=""/>
          </v:shape>
        </w:pict>
      </w:r>
    </w:p>
    <w:p w:rsidR="00177955" w:rsidRDefault="00177955">
      <w:pPr>
        <w:pStyle w:val="Default"/>
        <w:jc w:val="center"/>
      </w:pPr>
      <w:r>
        <w:t>Rysunek 6.2. przedstawia atrapę zacisku kontrolnego,</w:t>
      </w:r>
    </w:p>
    <w:p w:rsidR="00177955" w:rsidRDefault="00177955">
      <w:pPr>
        <w:pStyle w:val="Default"/>
        <w:jc w:val="center"/>
      </w:pPr>
    </w:p>
    <w:p w:rsidR="00177955" w:rsidRDefault="00177955">
      <w:pPr>
        <w:pStyle w:val="Default"/>
        <w:jc w:val="center"/>
      </w:pPr>
      <w:r>
        <w:rPr>
          <w:noProof/>
          <w:sz w:val="20"/>
          <w:szCs w:val="20"/>
        </w:rPr>
        <w:pict>
          <v:shape id="_x0000_i1036" type="#_x0000_t75" style="width:380.25pt;height:366pt;visibility:visible" fillcolor="window">
            <v:imagedata r:id="rId22" o:title=""/>
          </v:shape>
        </w:pict>
      </w:r>
    </w:p>
    <w:p w:rsidR="00177955" w:rsidRDefault="00177955">
      <w:pPr>
        <w:pStyle w:val="Default"/>
        <w:jc w:val="center"/>
      </w:pPr>
    </w:p>
    <w:p w:rsidR="00177955" w:rsidRDefault="00177955">
      <w:pPr>
        <w:pStyle w:val="Default"/>
        <w:jc w:val="center"/>
      </w:pPr>
      <w:r>
        <w:t>Rysunek 6.3. przedstawia brak zacisku kontrolnego</w:t>
      </w:r>
    </w:p>
    <w:p w:rsidR="00177955" w:rsidRDefault="00177955">
      <w:pPr>
        <w:pStyle w:val="Default"/>
      </w:pPr>
    </w:p>
    <w:p w:rsidR="00177955" w:rsidRDefault="00177955">
      <w:pPr>
        <w:pStyle w:val="Default"/>
        <w:jc w:val="center"/>
      </w:pPr>
      <w:r>
        <w:rPr>
          <w:noProof/>
          <w:sz w:val="20"/>
          <w:szCs w:val="20"/>
        </w:rPr>
        <w:pict>
          <v:shape id="Obraz 7" o:spid="_x0000_i1037" type="#_x0000_t75" style="width:307.5pt;height:294.75pt;visibility:visible" fillcolor="window">
            <v:imagedata r:id="rId23" o:title=""/>
          </v:shape>
        </w:pict>
      </w:r>
    </w:p>
    <w:p w:rsidR="00177955" w:rsidRDefault="00177955">
      <w:pPr>
        <w:pStyle w:val="Default"/>
        <w:jc w:val="center"/>
      </w:pPr>
    </w:p>
    <w:p w:rsidR="00177955" w:rsidRDefault="00177955">
      <w:pPr>
        <w:pStyle w:val="Default"/>
        <w:jc w:val="center"/>
      </w:pPr>
      <w:r>
        <w:t>Rysunek 6.4. przedstawia  brak dostępu i zacisku</w:t>
      </w:r>
    </w:p>
    <w:p w:rsidR="00177955" w:rsidRDefault="00177955">
      <w:pPr>
        <w:pStyle w:val="Default"/>
        <w:jc w:val="center"/>
      </w:pPr>
    </w:p>
    <w:p w:rsidR="00177955" w:rsidRDefault="00177955">
      <w:pPr>
        <w:pStyle w:val="Default"/>
        <w:jc w:val="center"/>
      </w:pPr>
      <w:r>
        <w:rPr>
          <w:noProof/>
          <w:sz w:val="20"/>
          <w:szCs w:val="20"/>
        </w:rPr>
        <w:pict>
          <v:shape id="Obraz 8" o:spid="_x0000_i1038" type="#_x0000_t75" style="width:291.75pt;height:388.5pt;visibility:visible" fillcolor="window">
            <v:imagedata r:id="rId24" o:title=""/>
          </v:shape>
        </w:pict>
      </w:r>
    </w:p>
    <w:p w:rsidR="00177955" w:rsidRDefault="00177955">
      <w:pPr>
        <w:pStyle w:val="Default"/>
      </w:pPr>
    </w:p>
    <w:p w:rsidR="00177955" w:rsidRDefault="00177955">
      <w:pPr>
        <w:pStyle w:val="Default"/>
        <w:jc w:val="center"/>
      </w:pPr>
      <w:r>
        <w:t>Rysunek 6.5. przedstawia  kolizję z innymi instalacjami</w:t>
      </w:r>
    </w:p>
    <w:p w:rsidR="00177955" w:rsidRDefault="00177955">
      <w:pPr>
        <w:pStyle w:val="Default"/>
      </w:pPr>
    </w:p>
    <w:p w:rsidR="00177955" w:rsidRDefault="00177955">
      <w:pPr>
        <w:pStyle w:val="Default"/>
        <w:jc w:val="center"/>
      </w:pPr>
      <w:r>
        <w:rPr>
          <w:noProof/>
          <w:sz w:val="20"/>
          <w:szCs w:val="20"/>
        </w:rPr>
        <w:pict>
          <v:shape id="_x0000_i1039" type="#_x0000_t75" alt="Odgr kolizja z innymi instal 2.jpg" style="width:368.25pt;height:251.25pt;visibility:visible" fillcolor="window">
            <v:imagedata r:id="rId25" o:title=""/>
          </v:shape>
        </w:pict>
      </w:r>
    </w:p>
    <w:p w:rsidR="00177955" w:rsidRDefault="00177955">
      <w:pPr>
        <w:pStyle w:val="Default"/>
        <w:jc w:val="center"/>
      </w:pPr>
      <w:r>
        <w:t>Rysunek 6.6. przykład kolizji z innymi instalacjami i tolerowania pętli</w:t>
      </w:r>
    </w:p>
    <w:p w:rsidR="00177955" w:rsidRDefault="00177955">
      <w:pPr>
        <w:pStyle w:val="Default"/>
        <w:jc w:val="center"/>
      </w:pPr>
    </w:p>
    <w:p w:rsidR="00177955" w:rsidRDefault="00177955">
      <w:pPr>
        <w:pStyle w:val="Default"/>
        <w:jc w:val="center"/>
      </w:pPr>
      <w:r>
        <w:rPr>
          <w:noProof/>
          <w:sz w:val="20"/>
          <w:szCs w:val="20"/>
        </w:rPr>
        <w:pict>
          <v:shape id="Obraz 9" o:spid="_x0000_i1040" type="#_x0000_t75" style="width:315.75pt;height:435pt;visibility:visible" fillcolor="window">
            <v:imagedata r:id="rId26" o:title=""/>
          </v:shape>
        </w:pict>
      </w:r>
    </w:p>
    <w:p w:rsidR="00177955" w:rsidRDefault="00177955">
      <w:pPr>
        <w:pStyle w:val="Default"/>
        <w:jc w:val="center"/>
      </w:pPr>
      <w:r>
        <w:t>Rysunek 6.7. przedstawia brak koordynacji zwodów,</w:t>
      </w:r>
    </w:p>
    <w:p w:rsidR="00177955" w:rsidRDefault="00177955">
      <w:pPr>
        <w:pStyle w:val="Default"/>
        <w:jc w:val="center"/>
      </w:pPr>
      <w:r>
        <w:rPr>
          <w:noProof/>
          <w:sz w:val="20"/>
          <w:szCs w:val="20"/>
        </w:rPr>
        <w:pict>
          <v:shape id="Obraz 10" o:spid="_x0000_i1041" type="#_x0000_t75" style="width:354.75pt;height:479.25pt;visibility:visible" fillcolor="window">
            <v:imagedata r:id="rId27" o:title=""/>
          </v:shape>
        </w:pict>
      </w:r>
    </w:p>
    <w:p w:rsidR="00177955" w:rsidRDefault="00177955">
      <w:pPr>
        <w:pStyle w:val="Default"/>
        <w:jc w:val="center"/>
      </w:pPr>
    </w:p>
    <w:p w:rsidR="00177955" w:rsidRDefault="00177955">
      <w:pPr>
        <w:pStyle w:val="Default"/>
        <w:jc w:val="center"/>
      </w:pPr>
      <w:r>
        <w:t>Rysunek 6.8. przedstawia problem nieprawidłowych pętli</w:t>
      </w:r>
    </w:p>
    <w:p w:rsidR="00177955" w:rsidRDefault="00177955">
      <w:pPr>
        <w:pStyle w:val="Default"/>
        <w:jc w:val="center"/>
      </w:pPr>
    </w:p>
    <w:p w:rsidR="00177955" w:rsidRDefault="00177955">
      <w:pPr>
        <w:pStyle w:val="Default"/>
        <w:jc w:val="center"/>
      </w:pPr>
      <w:r>
        <w:rPr>
          <w:noProof/>
          <w:sz w:val="20"/>
          <w:szCs w:val="20"/>
        </w:rPr>
        <w:pict>
          <v:shape id="Obraz 11" o:spid="_x0000_i1042" type="#_x0000_t75" style="width:317.25pt;height:220.5pt;visibility:visible" fillcolor="window">
            <v:imagedata r:id="rId28" o:title=""/>
          </v:shape>
        </w:pict>
      </w:r>
    </w:p>
    <w:p w:rsidR="00177955" w:rsidRDefault="00177955">
      <w:pPr>
        <w:pStyle w:val="Default"/>
        <w:jc w:val="center"/>
      </w:pPr>
    </w:p>
    <w:p w:rsidR="00177955" w:rsidRDefault="00177955">
      <w:pPr>
        <w:pStyle w:val="Default"/>
        <w:jc w:val="center"/>
      </w:pPr>
      <w:r>
        <w:t>Rysunek 6.9. przedstawia nieprawidłowy układ zwodów</w:t>
      </w:r>
    </w:p>
    <w:p w:rsidR="00177955" w:rsidRDefault="00177955">
      <w:pPr>
        <w:pStyle w:val="Default"/>
        <w:spacing w:after="120"/>
        <w:rPr>
          <w:b/>
          <w:bCs/>
        </w:rPr>
      </w:pPr>
      <w:r>
        <w:rPr>
          <w:b/>
          <w:bCs/>
        </w:rPr>
        <w:t>6.5. Skutki stosowania “piorunochronów aktywnych” ESE</w:t>
      </w:r>
    </w:p>
    <w:p w:rsidR="00177955" w:rsidRDefault="00177955">
      <w:pPr>
        <w:pStyle w:val="Default"/>
        <w:spacing w:after="120"/>
        <w:rPr>
          <w:shd w:val="clear" w:color="auto" w:fill="FFFFFF"/>
        </w:rPr>
      </w:pPr>
      <w:r>
        <w:rPr>
          <w:shd w:val="clear" w:color="auto" w:fill="FFFFFF"/>
        </w:rPr>
        <w:t>W ostatnich latach XX wieku pojawiło się w krajowej sprzedaży urządzenie zwane piorunochronem aktywnym.</w:t>
      </w:r>
    </w:p>
    <w:p w:rsidR="00177955" w:rsidRDefault="00177955">
      <w:pPr>
        <w:pStyle w:val="Default"/>
        <w:spacing w:after="120"/>
        <w:rPr>
          <w:shd w:val="clear" w:color="auto" w:fill="FFFFFF"/>
        </w:rPr>
      </w:pPr>
      <w:r>
        <w:rPr>
          <w:shd w:val="clear" w:color="auto" w:fill="FFFFFF"/>
        </w:rPr>
        <w:t>Sama nazwa podawana jest bardzo różnie: "piorunochron aktywny", "odgromnik wczesnego wyładowania wstęgowego", "piorunochron aktywny z wczesną emisją strimerów (</w:t>
      </w:r>
      <w:r>
        <w:rPr>
          <w:rStyle w:val="Strong"/>
          <w:rFonts w:cs="Arial"/>
          <w:shd w:val="clear" w:color="auto" w:fill="FFFFFF"/>
        </w:rPr>
        <w:t>ESE - Early Streamer Emission</w:t>
      </w:r>
      <w:r>
        <w:rPr>
          <w:shd w:val="clear" w:color="auto" w:fill="FFFFFF"/>
        </w:rPr>
        <w:t>)</w:t>
      </w:r>
    </w:p>
    <w:p w:rsidR="00177955" w:rsidRDefault="00177955">
      <w:pPr>
        <w:pStyle w:val="NormalWeb"/>
        <w:shd w:val="clear" w:color="auto" w:fill="FFFFFF"/>
        <w:spacing w:before="0" w:after="120"/>
        <w:rPr>
          <w:rFonts w:cs="Arial"/>
          <w:b/>
          <w:bCs/>
          <w:color w:val="000000"/>
        </w:rPr>
      </w:pPr>
      <w:r>
        <w:rPr>
          <w:rStyle w:val="Strong"/>
          <w:rFonts w:cs="Arial"/>
          <w:b w:val="0"/>
          <w:bCs w:val="0"/>
          <w:color w:val="000000"/>
          <w:shd w:val="clear" w:color="auto" w:fill="FFFFFF"/>
        </w:rPr>
        <w:t>Mimo wielu przeprowadzonych badań, nikomu i nigdzie nie udało się udowodnić ich skuteczności i nigdzie na świecie nie wprowadzono możliwości stosowania ESE do norm</w:t>
      </w:r>
      <w:r>
        <w:rPr>
          <w:rFonts w:cs="Arial"/>
          <w:b/>
          <w:bCs/>
          <w:color w:val="000000"/>
        </w:rPr>
        <w:t>. Urządzenia ESE nie spełniają wymagań normy PN-EN 62305</w:t>
      </w:r>
    </w:p>
    <w:p w:rsidR="00177955" w:rsidRDefault="00177955">
      <w:pPr>
        <w:pStyle w:val="Default"/>
        <w:spacing w:after="120"/>
      </w:pPr>
      <w:r>
        <w:t>Próby interpretacji postanowień normatywnych przez osoby niefachowe, lub preferujące inne (np. normy francuskie, dotyczące “piorunochronów aktywnych” ESE) prowadzą do rozwiązań całkowicie błędnych, a nawet zwiększających zagrożenie i zasługujących na dyskwalifikacje, co przedstawia rysunek 6.10.</w:t>
      </w:r>
      <w:r>
        <w:br/>
      </w:r>
    </w:p>
    <w:p w:rsidR="00177955" w:rsidRDefault="00177955">
      <w:pPr>
        <w:pStyle w:val="Default"/>
      </w:pPr>
      <w:r>
        <w:rPr>
          <w:noProof/>
          <w:sz w:val="20"/>
          <w:szCs w:val="20"/>
        </w:rPr>
        <w:pict>
          <v:shape id="_x0000_i1043" type="#_x0000_t75" alt="Odgr uszk budynków.jpg" style="width:473.25pt;height:156.75pt;visibility:visible" fillcolor="window">
            <v:imagedata r:id="rId29" o:title=""/>
          </v:shape>
        </w:pict>
      </w:r>
    </w:p>
    <w:p w:rsidR="00177955" w:rsidRDefault="00177955">
      <w:pPr>
        <w:pStyle w:val="Default"/>
        <w:jc w:val="center"/>
      </w:pPr>
      <w:r>
        <w:br/>
        <w:t>Rys. 6.10. Przykłady uszkodzenia budynków obok zwodów ESE</w:t>
      </w:r>
    </w:p>
    <w:p w:rsidR="00177955" w:rsidRDefault="00177955">
      <w:pPr>
        <w:pStyle w:val="Heading1"/>
        <w:numPr>
          <w:ilvl w:val="0"/>
          <w:numId w:val="0"/>
        </w:numPr>
        <w:tabs>
          <w:tab w:val="num" w:pos="567"/>
        </w:tabs>
        <w:spacing w:after="60"/>
        <w:ind w:left="567" w:hanging="567"/>
        <w:jc w:val="left"/>
      </w:pPr>
      <w:r>
        <w:t>7. Skuteczna ochrona przed przepięciami atmosferycznymi lub łączeniowymi</w:t>
      </w:r>
    </w:p>
    <w:p w:rsidR="00177955" w:rsidRDefault="00177955">
      <w:pPr>
        <w:ind w:firstLine="567"/>
      </w:pPr>
      <w:r>
        <w:t xml:space="preserve"> Stosowanie ochrony przeciwprzepięciowej </w:t>
      </w:r>
    </w:p>
    <w:p w:rsidR="00177955" w:rsidRDefault="00177955">
      <w:pPr>
        <w:ind w:firstLine="567"/>
      </w:pPr>
      <w:r>
        <w:t>Norma PN-IEC 60364-4-443:1999P uzależnia potrzebę zastosowania ochrony przeciwprzepięciowej na początku instalacji (IV kategoria przepięć) od:</w:t>
      </w:r>
    </w:p>
    <w:p w:rsidR="00177955" w:rsidRDefault="00177955">
      <w:pPr>
        <w:pStyle w:val="ListParagraph"/>
        <w:numPr>
          <w:ilvl w:val="0"/>
          <w:numId w:val="22"/>
        </w:numPr>
        <w:ind w:left="993"/>
      </w:pPr>
      <w:r>
        <w:t>rodzaju sieci zasilającej instalację elektryczną budynku,</w:t>
      </w:r>
    </w:p>
    <w:p w:rsidR="00177955" w:rsidRDefault="00177955">
      <w:pPr>
        <w:pStyle w:val="ListParagraph"/>
        <w:numPr>
          <w:ilvl w:val="0"/>
          <w:numId w:val="22"/>
        </w:numPr>
        <w:ind w:left="993"/>
      </w:pPr>
      <w:r>
        <w:t>warunków zewnętrznych (liczby dni burzowych w roku),</w:t>
      </w:r>
    </w:p>
    <w:p w:rsidR="00177955" w:rsidRDefault="00177955">
      <w:pPr>
        <w:pStyle w:val="ListParagraph"/>
        <w:numPr>
          <w:ilvl w:val="0"/>
          <w:numId w:val="22"/>
        </w:numPr>
        <w:ind w:left="993"/>
      </w:pPr>
      <w:r>
        <w:t xml:space="preserve">poziomu napięcia przejściowego na początku instalacji. </w:t>
      </w:r>
    </w:p>
    <w:p w:rsidR="00177955" w:rsidRDefault="00177955">
      <w:pPr>
        <w:ind w:firstLine="567"/>
      </w:pPr>
      <w:r>
        <w:t>Jeżeli do zasilania obiektu budowlanego zastosowano sieć kablową lub napowietrzno kablową z ułożonym w ziemi kablem o długości co najmniej 150 m, to zapewnione jest wystarczające tłumienie fal przepięciowych przenoszonych przez sieć zasilającą i nie ma potrzeby stosowania ochrony przeciwprzepięciowej na początku instalacji.</w:t>
      </w:r>
    </w:p>
    <w:p w:rsidR="00177955" w:rsidRDefault="00177955">
      <w:pPr>
        <w:ind w:firstLine="567"/>
      </w:pPr>
      <w:r>
        <w:t xml:space="preserve"> Jeżeli budynek zasilany jest linią napowietrzną to o stosowaniu ochrony przeciwprzepięciowej na początku instalacji decyduje poziom przepięć przejściowych i liczba wyładowań burzowych w roku.</w:t>
      </w:r>
    </w:p>
    <w:p w:rsidR="00177955" w:rsidRDefault="00177955">
      <w:pPr>
        <w:ind w:firstLine="567"/>
        <w:rPr>
          <w:b/>
          <w:bCs/>
        </w:rPr>
      </w:pPr>
      <w:r>
        <w:t xml:space="preserve"> Gdy liczba dni burzowych w roku </w:t>
      </w:r>
      <w:r>
        <w:rPr>
          <w:b/>
          <w:bCs/>
        </w:rPr>
        <w:t>nie przekracza 25</w:t>
      </w:r>
      <w:r>
        <w:t>, wówczas</w:t>
      </w:r>
      <w:r>
        <w:rPr>
          <w:b/>
          <w:bCs/>
        </w:rPr>
        <w:t xml:space="preserve"> stosowanie ochrony nie jest wymagane. </w:t>
      </w:r>
    </w:p>
    <w:p w:rsidR="00177955" w:rsidRDefault="00177955">
      <w:pPr>
        <w:ind w:firstLine="567"/>
      </w:pPr>
      <w:r>
        <w:t>Gdy liczba dni burzowych w roku przekracza 25, to ochrona przeciwprzepięciowa w instalacji o napięciu 230/400 V:</w:t>
      </w:r>
    </w:p>
    <w:p w:rsidR="00177955" w:rsidRDefault="00177955">
      <w:pPr>
        <w:pStyle w:val="ListParagraph"/>
        <w:numPr>
          <w:ilvl w:val="0"/>
          <w:numId w:val="23"/>
        </w:numPr>
        <w:ind w:left="851"/>
      </w:pPr>
      <w:r>
        <w:t xml:space="preserve">nie jest wymagana jeżeli poziom przepięcia przejściowego U na początku </w:t>
      </w:r>
      <w:r>
        <w:br/>
        <w:t xml:space="preserve"> instalacji jest ≤ 4 kV, natomiast </w:t>
      </w:r>
    </w:p>
    <w:p w:rsidR="00177955" w:rsidRDefault="00177955">
      <w:pPr>
        <w:pStyle w:val="ListParagraph"/>
        <w:numPr>
          <w:ilvl w:val="0"/>
          <w:numId w:val="23"/>
        </w:numPr>
        <w:ind w:left="851"/>
      </w:pPr>
      <w:r>
        <w:t xml:space="preserve">jest zalecana jeżeli poziom przepięcia przejściowego wynosi 4 kV &lt; U ≤ 6 kV, </w:t>
      </w:r>
    </w:p>
    <w:p w:rsidR="00177955" w:rsidRDefault="00177955">
      <w:pPr>
        <w:pStyle w:val="ListParagraph"/>
        <w:numPr>
          <w:ilvl w:val="0"/>
          <w:numId w:val="23"/>
        </w:numPr>
        <w:ind w:left="851"/>
      </w:pPr>
      <w:r>
        <w:t xml:space="preserve">i </w:t>
      </w:r>
      <w:r>
        <w:rPr>
          <w:b/>
          <w:bCs/>
        </w:rPr>
        <w:t>jest wymagana</w:t>
      </w:r>
      <w:r>
        <w:t xml:space="preserve"> jeżeli </w:t>
      </w:r>
      <w:r>
        <w:rPr>
          <w:b/>
          <w:bCs/>
        </w:rPr>
        <w:t>poziom przepięcia wynosi U &gt; 6 kV</w:t>
      </w:r>
      <w:r>
        <w:t>.</w:t>
      </w:r>
    </w:p>
    <w:p w:rsidR="00177955" w:rsidRDefault="00177955">
      <w:pPr>
        <w:ind w:firstLine="567"/>
      </w:pPr>
      <w:r>
        <w:t>Konieczność stosowania w instalacjach elektrycznych ochrony przeciwprzepięciowej podyktowana jest ograniczoną odpornością na przepięcia coraz większej liczby urządzeń elektrycznych, szczególnie urządzeń i systemów elektronicznych, energoelektronicznych, telekomunikacyjnych itp.</w:t>
      </w:r>
    </w:p>
    <w:p w:rsidR="00177955" w:rsidRDefault="00177955">
      <w:r>
        <w:t>Źródłem przepięć pojawiających się w instalacjach może być bezpośrednie uderzenie pioruna w sieć zasilającą, linię transmisji sygnałów lub w budynek.</w:t>
      </w:r>
    </w:p>
    <w:p w:rsidR="00177955" w:rsidRDefault="00177955">
      <w:r>
        <w:t xml:space="preserve">Bez zastosowania odpowiednich układów ochronnych, urządzenia znajdujące się w obszarze o promieniu 1,5 km od miejsca uderzenia pioruna mogą ulec zniszczeniu. </w:t>
      </w:r>
    </w:p>
    <w:p w:rsidR="00177955" w:rsidRDefault="00177955">
      <w:r>
        <w:t>Źródłem przepięć w instalacjach mogą być również same urządzenia elektryczne tej instalacji. Są to przepięcia wewnętrzne spowodowane operacjami łączeniowymi oraz na skutek zwarć w instalacjach.</w:t>
      </w:r>
    </w:p>
    <w:p w:rsidR="00177955" w:rsidRDefault="00177955">
      <w:pPr>
        <w:spacing w:after="40"/>
      </w:pPr>
      <w:r>
        <w:t>W normie PN-HD 60364-4-443:2016P podane są kategorie wytrzymałości udarowej (kategorie przepięć) z uwzględnieniem miejsca zlokalizowania określonych urządzeń w instalacji. Zgodnie z powyższym wymagane znamionowe napięcia udarowe wytrzymywane urządzeń, dla sieci trójfazowej o napięciu znamionowym 230/400 V, wynoszą:</w:t>
      </w:r>
    </w:p>
    <w:p w:rsidR="00177955" w:rsidRDefault="00177955">
      <w:pPr>
        <w:numPr>
          <w:ilvl w:val="0"/>
          <w:numId w:val="9"/>
        </w:numPr>
        <w:spacing w:after="40"/>
      </w:pPr>
      <w:r>
        <w:t xml:space="preserve">6 kV  dla  </w:t>
      </w:r>
      <w:r>
        <w:rPr>
          <w:b/>
          <w:bCs/>
        </w:rPr>
        <w:t xml:space="preserve">IV  </w:t>
      </w:r>
      <w:r>
        <w:t>kategorii wytrzymałości udarowej (IV kategorii przepięć),</w:t>
      </w:r>
    </w:p>
    <w:p w:rsidR="00177955" w:rsidRDefault="00177955">
      <w:pPr>
        <w:numPr>
          <w:ilvl w:val="0"/>
          <w:numId w:val="9"/>
        </w:numPr>
        <w:spacing w:after="40"/>
      </w:pPr>
      <w:r>
        <w:t xml:space="preserve">4 kV  dla  </w:t>
      </w:r>
      <w:r>
        <w:rPr>
          <w:b/>
          <w:bCs/>
        </w:rPr>
        <w:t xml:space="preserve">III </w:t>
      </w:r>
      <w:r>
        <w:t>kategorii wytrzymałości udarowej (III kategorii przepięć),</w:t>
      </w:r>
    </w:p>
    <w:p w:rsidR="00177955" w:rsidRDefault="00177955">
      <w:pPr>
        <w:numPr>
          <w:ilvl w:val="0"/>
          <w:numId w:val="9"/>
        </w:numPr>
        <w:spacing w:after="40"/>
      </w:pPr>
      <w:r>
        <w:t xml:space="preserve">2,5 kV  dla  </w:t>
      </w:r>
      <w:r>
        <w:rPr>
          <w:b/>
          <w:bCs/>
        </w:rPr>
        <w:t xml:space="preserve">II </w:t>
      </w:r>
      <w:r>
        <w:t>kategorii wytrzymałości udarowej (II kategorii przepięć),</w:t>
      </w:r>
    </w:p>
    <w:p w:rsidR="00177955" w:rsidRDefault="00177955">
      <w:pPr>
        <w:numPr>
          <w:ilvl w:val="0"/>
          <w:numId w:val="9"/>
        </w:numPr>
        <w:spacing w:after="40"/>
      </w:pPr>
      <w:r>
        <w:t xml:space="preserve">1,5 kV  dla  </w:t>
      </w:r>
      <w:r>
        <w:rPr>
          <w:b/>
          <w:bCs/>
        </w:rPr>
        <w:t xml:space="preserve">I </w:t>
      </w:r>
      <w:r>
        <w:t>kategorii wytrzymałości udarowej (I kategorii przepięć).</w:t>
      </w:r>
    </w:p>
    <w:p w:rsidR="00177955" w:rsidRDefault="00177955">
      <w:pPr>
        <w:pStyle w:val="Stand126"/>
        <w:jc w:val="left"/>
        <w:rPr>
          <w:sz w:val="24"/>
          <w:szCs w:val="24"/>
        </w:rPr>
      </w:pPr>
      <w:r>
        <w:rPr>
          <w:sz w:val="24"/>
          <w:szCs w:val="24"/>
        </w:rPr>
        <w:t>Poszczególne kategorie wytrzymałości udarowej (kategorie przepięć) dotyczą następujących elementów instalacji:</w:t>
      </w:r>
    </w:p>
    <w:p w:rsidR="00177955" w:rsidRDefault="00177955">
      <w:pPr>
        <w:pStyle w:val="Stand126"/>
        <w:numPr>
          <w:ilvl w:val="0"/>
          <w:numId w:val="10"/>
        </w:numPr>
        <w:jc w:val="left"/>
        <w:rPr>
          <w:sz w:val="24"/>
          <w:szCs w:val="24"/>
        </w:rPr>
      </w:pPr>
      <w:r>
        <w:rPr>
          <w:b/>
          <w:bCs/>
          <w:sz w:val="24"/>
          <w:szCs w:val="24"/>
        </w:rPr>
        <w:t>kategoria IV</w:t>
      </w:r>
      <w:r>
        <w:rPr>
          <w:sz w:val="24"/>
          <w:szCs w:val="24"/>
        </w:rPr>
        <w:t xml:space="preserve"> dotyczy urządzeń stosowanych w złączu instalacji elektrycznej budynku lub w pobliżu złącza przed główną rozdzielnicą (odgromniki),</w:t>
      </w:r>
    </w:p>
    <w:p w:rsidR="00177955" w:rsidRDefault="00177955">
      <w:pPr>
        <w:pStyle w:val="Stand126"/>
        <w:numPr>
          <w:ilvl w:val="0"/>
          <w:numId w:val="10"/>
        </w:numPr>
        <w:jc w:val="left"/>
        <w:rPr>
          <w:sz w:val="24"/>
          <w:szCs w:val="24"/>
        </w:rPr>
      </w:pPr>
      <w:r>
        <w:rPr>
          <w:b/>
          <w:bCs/>
          <w:sz w:val="24"/>
          <w:szCs w:val="24"/>
        </w:rPr>
        <w:t>kategoria III</w:t>
      </w:r>
      <w:r>
        <w:rPr>
          <w:sz w:val="24"/>
          <w:szCs w:val="24"/>
        </w:rPr>
        <w:t xml:space="preserve"> dotyczy urządzeń rozdzielczych i obwodów odbiorczych, na przykład: rozdzielnic tablicowych, wyłączników, oprzewodowania, a w tym kabli, przewodów szynowych, puszek łączeniowych, łączników, gniazd wtyczkowych w instalacji stałej, stacjonarnych silników przyłączonych trwale do instalacji stałej itp. (ochronniki),</w:t>
      </w:r>
    </w:p>
    <w:p w:rsidR="00177955" w:rsidRDefault="00177955">
      <w:pPr>
        <w:pStyle w:val="Stand126"/>
        <w:numPr>
          <w:ilvl w:val="0"/>
          <w:numId w:val="10"/>
        </w:numPr>
        <w:jc w:val="left"/>
        <w:rPr>
          <w:sz w:val="24"/>
          <w:szCs w:val="24"/>
        </w:rPr>
      </w:pPr>
      <w:r>
        <w:rPr>
          <w:b/>
          <w:bCs/>
          <w:sz w:val="24"/>
          <w:szCs w:val="24"/>
        </w:rPr>
        <w:t>kategoria II</w:t>
      </w:r>
      <w:r>
        <w:rPr>
          <w:sz w:val="24"/>
          <w:szCs w:val="24"/>
        </w:rPr>
        <w:t xml:space="preserve"> dotyczy odbiorników, na przykład: urządzeń gospodarstwa domowego, elektrycznych narzędzi przenośnych lub podobnych odbiorników (ochronniki),</w:t>
      </w:r>
    </w:p>
    <w:p w:rsidR="00177955" w:rsidRDefault="00177955">
      <w:pPr>
        <w:pStyle w:val="Stand126"/>
        <w:numPr>
          <w:ilvl w:val="0"/>
          <w:numId w:val="10"/>
        </w:numPr>
        <w:jc w:val="left"/>
        <w:rPr>
          <w:sz w:val="24"/>
          <w:szCs w:val="24"/>
        </w:rPr>
      </w:pPr>
      <w:r>
        <w:rPr>
          <w:b/>
          <w:bCs/>
          <w:sz w:val="24"/>
          <w:szCs w:val="24"/>
        </w:rPr>
        <w:t>kategoria I</w:t>
      </w:r>
      <w:r>
        <w:rPr>
          <w:sz w:val="24"/>
          <w:szCs w:val="24"/>
        </w:rPr>
        <w:t xml:space="preserve"> dotyczy urządzeń specjalnie chronionych (specjalne ochronniki).</w:t>
      </w:r>
    </w:p>
    <w:p w:rsidR="00177955" w:rsidRDefault="00177955">
      <w:pPr>
        <w:pStyle w:val="Stand126"/>
        <w:spacing w:before="0" w:after="60"/>
        <w:jc w:val="left"/>
        <w:rPr>
          <w:sz w:val="24"/>
          <w:szCs w:val="24"/>
        </w:rPr>
      </w:pPr>
      <w:r>
        <w:rPr>
          <w:sz w:val="24"/>
          <w:szCs w:val="24"/>
        </w:rPr>
        <w:t xml:space="preserve">Ochronę przed przepięciami atmosferycznymi lub łączeniowymi w instalacjach </w:t>
      </w:r>
      <w:r>
        <w:rPr>
          <w:b/>
          <w:bCs/>
          <w:sz w:val="24"/>
          <w:szCs w:val="24"/>
        </w:rPr>
        <w:t>elektrycznych należy zapewnić poprzez zastosowanie ograniczników przepięć oraz</w:t>
      </w:r>
      <w:r>
        <w:rPr>
          <w:sz w:val="24"/>
          <w:szCs w:val="24"/>
        </w:rPr>
        <w:t xml:space="preserve"> poprawnie wykonanych połączeń wyrównawczych.</w:t>
      </w:r>
    </w:p>
    <w:p w:rsidR="00177955" w:rsidRDefault="00177955">
      <w:pPr>
        <w:spacing w:after="60"/>
      </w:pPr>
      <w:r>
        <w:t>W systemie ochrony przeciwprzepięciowej szczególnie ważny jest podstawowy układ ochrony zainstalowany na początku instalacji.</w:t>
      </w:r>
    </w:p>
    <w:p w:rsidR="00177955" w:rsidRDefault="00177955">
      <w:pPr>
        <w:pStyle w:val="Stand126"/>
        <w:spacing w:before="0" w:after="60"/>
        <w:jc w:val="left"/>
        <w:rPr>
          <w:sz w:val="24"/>
          <w:szCs w:val="24"/>
        </w:rPr>
      </w:pPr>
      <w:r>
        <w:rPr>
          <w:sz w:val="24"/>
          <w:szCs w:val="24"/>
        </w:rPr>
        <w:t>Ochronę przed przepięciami atmosferycznymi lub łączeniowymi w instalacjach elektrycznych należy zapewnić poprzez zastosowanie ograniczników przepięć oraz poprawnie wykonanych połączeń wyrównawczych.</w:t>
      </w:r>
    </w:p>
    <w:p w:rsidR="00177955" w:rsidRDefault="00177955">
      <w:pPr>
        <w:spacing w:after="60"/>
      </w:pPr>
      <w:r>
        <w:t>W systemie ochrony przeciwprzepięciowej szczególnie ważny jest podstawowy układ ochrony zainstalowany na początku instalacji.</w:t>
      </w:r>
    </w:p>
    <w:p w:rsidR="00177955" w:rsidRDefault="00177955">
      <w:pPr>
        <w:pStyle w:val="Stand126"/>
        <w:numPr>
          <w:ilvl w:val="0"/>
          <w:numId w:val="10"/>
        </w:numPr>
        <w:jc w:val="center"/>
        <w:rPr>
          <w:sz w:val="24"/>
          <w:szCs w:val="24"/>
        </w:rPr>
      </w:pPr>
      <w:r>
        <w:rPr>
          <w:noProof/>
          <w:sz w:val="20"/>
          <w:szCs w:val="20"/>
        </w:rPr>
        <w:pict>
          <v:shape id="_x0000_i1044" type="#_x0000_t75" alt="Kateg wytrz udarowej" style="width:308.25pt;height:204.75pt;visibility:visible" fillcolor="window">
            <v:imagedata r:id="rId30" o:title=""/>
          </v:shape>
        </w:pict>
      </w:r>
    </w:p>
    <w:p w:rsidR="00177955" w:rsidRDefault="00177955">
      <w:pPr>
        <w:pStyle w:val="Stand126"/>
        <w:ind w:left="720"/>
        <w:jc w:val="center"/>
        <w:rPr>
          <w:sz w:val="24"/>
          <w:szCs w:val="24"/>
        </w:rPr>
      </w:pPr>
      <w:r>
        <w:rPr>
          <w:sz w:val="24"/>
          <w:szCs w:val="24"/>
        </w:rPr>
        <w:t>Rys. 7.1. Elementy instalacji których dotyczą poszczególne kategorie wytrzymałości udarowej (kategorie przepięć)</w:t>
      </w:r>
    </w:p>
    <w:p w:rsidR="00177955" w:rsidRDefault="00177955">
      <w:pPr>
        <w:spacing w:after="60"/>
      </w:pPr>
      <w:r>
        <w:t>Tworzące ten układ ograniczniki przepięć powinny zapewnić podstawową ochronę przed wszelkiego rodzaju przepięciami łączeniowymi, awariami w sieci elektroenergetycznej oraz przepięciami atmosferycznymi nawet w przypadku bezpośredniego uderzenia pioruna w budynek.</w:t>
      </w:r>
    </w:p>
    <w:p w:rsidR="00177955" w:rsidRDefault="00177955">
      <w:pPr>
        <w:spacing w:after="60"/>
      </w:pPr>
      <w:r>
        <w:t>Ograniczniki te należy instalować bezpośrednio w złączu lub w rozdzielnicy głównej. Ograniczniki powinny być włączone między każdy przewód fazowy i uziom oraz między przewód neutralny N i uziom, jeżeli przewód N nie jest na początku instalacji uziemiony.</w:t>
      </w:r>
    </w:p>
    <w:p w:rsidR="00177955" w:rsidRDefault="00177955">
      <w:pPr>
        <w:spacing w:after="60"/>
      </w:pPr>
      <w:r>
        <w:t>Dla większości urządzeń elektrycznych ograniczenie się tylko do ograniczników tworzących podstawowy układ ochrony jest niewystarczające. Należy zastosować w dalszych częściach instalacji elektrycznej ograniczniki przepięć tworzące dalsze stopnie ochrony odpowiednio do przyjętej kategorii wytrzymałości udarowej (kategorii przepięć).</w:t>
      </w:r>
    </w:p>
    <w:p w:rsidR="00177955" w:rsidRDefault="00177955">
      <w:pPr>
        <w:spacing w:after="60"/>
      </w:pPr>
      <w:r>
        <w:t>Ograniczniki te należy instalować w rozdzielnicach i tablicach rozdzielczych, a w przypadku urządzeń specjalnie chronionych w gniazdach wtyczkowych, puszkach instalacyjnych lub bezpośrednio w chronionym urządzeniu. Powinny być one włączone między każdy przewód czynny (L1; L2; L3; N) i szynę uziemiającą lub przewód ochronny. Ochroną należy obejmować również obwody sygnałowe</w:t>
      </w:r>
    </w:p>
    <w:p w:rsidR="00177955" w:rsidRDefault="00177955">
      <w:pPr>
        <w:spacing w:after="60"/>
      </w:pPr>
      <w:r>
        <w:t>Przy stosowaniu wielostopniowej ochrony przeciwprzepięciowej, dla zapewnienia koordynacji działania poszczególnych aparatów, odległości pomiędzy ogranicznikami przepięć z iskiernikami (odgromniki) a ogranicznikami warystorowymi (ochronniki) powinny być nie mniejsze niż kilkanaście metrów. W innym przypadku konieczne jest zastosowanie pomiędzy nimi dodatkowego aparatu w postaci tak zwanej “indukcyjności odsprzęgającej”.</w:t>
      </w:r>
    </w:p>
    <w:p w:rsidR="00177955" w:rsidRDefault="00177955">
      <w:pPr>
        <w:rPr>
          <w:b/>
          <w:bCs/>
        </w:rPr>
      </w:pPr>
    </w:p>
    <w:p w:rsidR="00177955" w:rsidRDefault="00177955">
      <w:pPr>
        <w:rPr>
          <w:b/>
          <w:bCs/>
        </w:rPr>
      </w:pPr>
      <w:r>
        <w:rPr>
          <w:b/>
          <w:bCs/>
        </w:rPr>
        <w:t>8. Wymagania dla połączeń ochronnych w instalacjach</w:t>
      </w:r>
    </w:p>
    <w:p w:rsidR="00177955" w:rsidRDefault="00177955">
      <w:r>
        <w:t>Przekrój każdego przewodu ochronnego powinien spełniać warunki samoczynnego wyłączenia zasilania, oraz powinien wytrzymywać spodziewany prąd zwarciowy.</w:t>
      </w:r>
      <w:r>
        <w:br/>
        <w:t>Przekrój przewodu ochronnego powinien być albo obliczony albo dobrany zgodnie z zasadami podanymi w tabeli 8.1.</w:t>
      </w:r>
    </w:p>
    <w:p w:rsidR="00177955" w:rsidRDefault="00177955">
      <w:r>
        <w:t>Przewody i kable powinny być dobrane z uwzględnieniem ich wytrzymałości mechanicznej. Zgodnie z normą PN-HD 60364-5-54:2011 najmniejsze wymiary poprzeczne przewodów ochronnych w obwodach instalacji elektrycznych w mm</w:t>
      </w:r>
      <w:r>
        <w:rPr>
          <w:vertAlign w:val="superscript"/>
        </w:rPr>
        <w:t>2</w:t>
      </w:r>
      <w:r>
        <w:t xml:space="preserve"> są ograniczone do wartości podanych w tabeli,</w:t>
      </w:r>
    </w:p>
    <w:p w:rsidR="00177955" w:rsidRDefault="00177955">
      <w:r>
        <w:t>Tabela 8.1. Minimalny przekrój odpowiadającego przewodu ochronnego w sieci TN</w:t>
      </w:r>
    </w:p>
    <w:tbl>
      <w:tblPr>
        <w:tblW w:w="0" w:type="auto"/>
        <w:tblInd w:w="2" w:type="dxa"/>
        <w:tblLayout w:type="fixed"/>
        <w:tblCellMar>
          <w:left w:w="0" w:type="dxa"/>
          <w:right w:w="0" w:type="dxa"/>
        </w:tblCellMar>
        <w:tblLook w:val="0000"/>
      </w:tblPr>
      <w:tblGrid>
        <w:gridCol w:w="2454"/>
        <w:gridCol w:w="6760"/>
      </w:tblGrid>
      <w:tr w:rsidR="00177955">
        <w:tblPrEx>
          <w:tblCellMar>
            <w:top w:w="0" w:type="dxa"/>
            <w:left w:w="0" w:type="dxa"/>
            <w:bottom w:w="0" w:type="dxa"/>
            <w:right w:w="0" w:type="dxa"/>
          </w:tblCellMar>
        </w:tblPrEx>
        <w:tc>
          <w:tcPr>
            <w:tcW w:w="2454" w:type="dxa"/>
            <w:tcBorders>
              <w:top w:val="single" w:sz="8" w:space="0" w:color="auto"/>
              <w:left w:val="single" w:sz="8" w:space="0" w:color="auto"/>
              <w:bottom w:val="single" w:sz="8" w:space="0" w:color="auto"/>
              <w:right w:val="single" w:sz="8" w:space="0" w:color="auto"/>
            </w:tcBorders>
          </w:tcPr>
          <w:p w:rsidR="00177955" w:rsidRDefault="00177955">
            <w:pPr>
              <w:jc w:val="center"/>
            </w:pPr>
            <w:r>
              <w:t>Przekrój przewodów fazowych S</w:t>
            </w:r>
            <w:r>
              <w:br/>
              <w:t>mm</w:t>
            </w:r>
            <w:r>
              <w:rPr>
                <w:vertAlign w:val="superscript"/>
              </w:rPr>
              <w:t>2</w:t>
            </w:r>
          </w:p>
        </w:tc>
        <w:tc>
          <w:tcPr>
            <w:tcW w:w="6760" w:type="dxa"/>
            <w:tcBorders>
              <w:top w:val="single" w:sz="8" w:space="0" w:color="auto"/>
              <w:left w:val="nil"/>
              <w:bottom w:val="single" w:sz="8" w:space="0" w:color="auto"/>
              <w:right w:val="single" w:sz="8" w:space="0" w:color="auto"/>
            </w:tcBorders>
          </w:tcPr>
          <w:p w:rsidR="00177955" w:rsidRDefault="00177955">
            <w:pPr>
              <w:jc w:val="center"/>
            </w:pPr>
            <w:r>
              <w:t>Minimalny przekrój odpowiadającego przewodu ochronnego, jeżeli przewód ochronny jest z tego samego materiału co przewód fazowy</w:t>
            </w:r>
            <w:r>
              <w:br/>
              <w:t>mm</w:t>
            </w:r>
            <w:r>
              <w:rPr>
                <w:vertAlign w:val="superscript"/>
              </w:rPr>
              <w:t>2</w:t>
            </w:r>
          </w:p>
        </w:tc>
      </w:tr>
      <w:tr w:rsidR="00177955">
        <w:tblPrEx>
          <w:tblCellMar>
            <w:top w:w="0" w:type="dxa"/>
            <w:left w:w="0" w:type="dxa"/>
            <w:bottom w:w="0" w:type="dxa"/>
            <w:right w:w="0" w:type="dxa"/>
          </w:tblCellMar>
        </w:tblPrEx>
        <w:tc>
          <w:tcPr>
            <w:tcW w:w="2454" w:type="dxa"/>
            <w:tcBorders>
              <w:top w:val="nil"/>
              <w:left w:val="single" w:sz="8" w:space="0" w:color="auto"/>
              <w:bottom w:val="single" w:sz="8" w:space="0" w:color="auto"/>
              <w:right w:val="single" w:sz="8" w:space="0" w:color="auto"/>
            </w:tcBorders>
          </w:tcPr>
          <w:p w:rsidR="00177955" w:rsidRDefault="00177955">
            <w:pPr>
              <w:jc w:val="center"/>
            </w:pPr>
            <w:r>
              <w:t>S ≤ 16</w:t>
            </w:r>
          </w:p>
        </w:tc>
        <w:tc>
          <w:tcPr>
            <w:tcW w:w="6760" w:type="dxa"/>
            <w:tcBorders>
              <w:top w:val="nil"/>
              <w:left w:val="nil"/>
              <w:bottom w:val="single" w:sz="8" w:space="0" w:color="auto"/>
              <w:right w:val="single" w:sz="8" w:space="0" w:color="auto"/>
            </w:tcBorders>
          </w:tcPr>
          <w:p w:rsidR="00177955" w:rsidRDefault="00177955">
            <w:pPr>
              <w:jc w:val="center"/>
            </w:pPr>
            <w:r>
              <w:t>S</w:t>
            </w:r>
          </w:p>
        </w:tc>
      </w:tr>
      <w:tr w:rsidR="00177955">
        <w:tblPrEx>
          <w:tblCellMar>
            <w:top w:w="0" w:type="dxa"/>
            <w:left w:w="0" w:type="dxa"/>
            <w:bottom w:w="0" w:type="dxa"/>
            <w:right w:w="0" w:type="dxa"/>
          </w:tblCellMar>
        </w:tblPrEx>
        <w:tc>
          <w:tcPr>
            <w:tcW w:w="2454" w:type="dxa"/>
            <w:tcBorders>
              <w:top w:val="nil"/>
              <w:left w:val="single" w:sz="8" w:space="0" w:color="auto"/>
              <w:bottom w:val="single" w:sz="8" w:space="0" w:color="auto"/>
              <w:right w:val="single" w:sz="8" w:space="0" w:color="auto"/>
            </w:tcBorders>
          </w:tcPr>
          <w:p w:rsidR="00177955" w:rsidRDefault="00177955">
            <w:pPr>
              <w:jc w:val="center"/>
            </w:pPr>
            <w:r>
              <w:t>16 &lt; S ≤ 35</w:t>
            </w:r>
          </w:p>
        </w:tc>
        <w:tc>
          <w:tcPr>
            <w:tcW w:w="6760" w:type="dxa"/>
            <w:tcBorders>
              <w:top w:val="nil"/>
              <w:left w:val="nil"/>
              <w:bottom w:val="single" w:sz="8" w:space="0" w:color="auto"/>
              <w:right w:val="single" w:sz="8" w:space="0" w:color="auto"/>
            </w:tcBorders>
          </w:tcPr>
          <w:p w:rsidR="00177955" w:rsidRDefault="00177955">
            <w:pPr>
              <w:jc w:val="center"/>
            </w:pPr>
            <w:r>
              <w:t>16</w:t>
            </w:r>
          </w:p>
        </w:tc>
      </w:tr>
      <w:tr w:rsidR="00177955">
        <w:tblPrEx>
          <w:tblCellMar>
            <w:top w:w="0" w:type="dxa"/>
            <w:left w:w="0" w:type="dxa"/>
            <w:bottom w:w="0" w:type="dxa"/>
            <w:right w:w="0" w:type="dxa"/>
          </w:tblCellMar>
        </w:tblPrEx>
        <w:tc>
          <w:tcPr>
            <w:tcW w:w="2454" w:type="dxa"/>
            <w:tcBorders>
              <w:top w:val="nil"/>
              <w:left w:val="single" w:sz="8" w:space="0" w:color="auto"/>
              <w:bottom w:val="single" w:sz="8" w:space="0" w:color="auto"/>
              <w:right w:val="single" w:sz="8" w:space="0" w:color="auto"/>
            </w:tcBorders>
          </w:tcPr>
          <w:p w:rsidR="00177955" w:rsidRDefault="00177955">
            <w:pPr>
              <w:jc w:val="center"/>
            </w:pPr>
            <w:r>
              <w:t> S &gt; 35</w:t>
            </w:r>
          </w:p>
        </w:tc>
        <w:tc>
          <w:tcPr>
            <w:tcW w:w="6760" w:type="dxa"/>
            <w:tcBorders>
              <w:top w:val="nil"/>
              <w:left w:val="nil"/>
              <w:bottom w:val="single" w:sz="8" w:space="0" w:color="auto"/>
              <w:right w:val="single" w:sz="8" w:space="0" w:color="auto"/>
            </w:tcBorders>
          </w:tcPr>
          <w:p w:rsidR="00177955" w:rsidRDefault="00177955">
            <w:pPr>
              <w:jc w:val="center"/>
            </w:pPr>
            <w:r>
              <w:t>0,5 S  </w:t>
            </w:r>
          </w:p>
        </w:tc>
      </w:tr>
    </w:tbl>
    <w:p w:rsidR="00177955" w:rsidRDefault="00177955">
      <w:r>
        <w:br/>
        <w:t xml:space="preserve">W układach sieci TT, przekrój przewodów ochronnych może być ograniczony do: </w:t>
      </w:r>
    </w:p>
    <w:p w:rsidR="00177955" w:rsidRDefault="00177955">
      <w:pPr>
        <w:numPr>
          <w:ilvl w:val="0"/>
          <w:numId w:val="11"/>
        </w:numPr>
      </w:pPr>
      <w:r>
        <w:t>25 mm</w:t>
      </w:r>
      <w:r>
        <w:rPr>
          <w:vertAlign w:val="superscript"/>
        </w:rPr>
        <w:t>2</w:t>
      </w:r>
      <w:r>
        <w:t>, dla przewodów wykonanych z miedzi, `</w:t>
      </w:r>
    </w:p>
    <w:p w:rsidR="00177955" w:rsidRDefault="00177955">
      <w:pPr>
        <w:numPr>
          <w:ilvl w:val="0"/>
          <w:numId w:val="11"/>
        </w:numPr>
      </w:pPr>
      <w:r>
        <w:t>35 mm</w:t>
      </w:r>
      <w:r>
        <w:rPr>
          <w:vertAlign w:val="superscript"/>
        </w:rPr>
        <w:t>2</w:t>
      </w:r>
      <w:r>
        <w:t>, dla przewodów wykonanych z aluminium,</w:t>
      </w:r>
    </w:p>
    <w:p w:rsidR="00177955" w:rsidRDefault="00177955">
      <w:r>
        <w:t>pod warunkiem, że uziomy punktu neutralnego źródła i części przewodzących dostępnych są elektrycznie niezależne.</w:t>
      </w:r>
    </w:p>
    <w:p w:rsidR="00177955" w:rsidRDefault="00177955">
      <w:r>
        <w:t xml:space="preserve">Przekrój każdego przewodu ochronnego, w tym przeznaczonego do dodatkowego połączenia wyrównawczego ochronnego, który </w:t>
      </w:r>
      <w:r>
        <w:rPr>
          <w:b/>
          <w:bCs/>
        </w:rPr>
        <w:t>nie jest częścią przewodu wielożyłowego lub kabla,</w:t>
      </w:r>
      <w:r>
        <w:t xml:space="preserve"> a także nie jest we wspólnej osłonie z przewodem fazowym, nie powinien być mniejszy niż:</w:t>
      </w:r>
    </w:p>
    <w:p w:rsidR="00177955" w:rsidRDefault="00177955">
      <w:pPr>
        <w:numPr>
          <w:ilvl w:val="0"/>
          <w:numId w:val="12"/>
        </w:numPr>
      </w:pPr>
      <w:r>
        <w:t>2,5 mm</w:t>
      </w:r>
      <w:r>
        <w:rPr>
          <w:vertAlign w:val="superscript"/>
        </w:rPr>
        <w:t>2</w:t>
      </w:r>
      <w:r>
        <w:t xml:space="preserve"> Cu lub 16 mm</w:t>
      </w:r>
      <w:r>
        <w:rPr>
          <w:vertAlign w:val="superscript"/>
        </w:rPr>
        <w:t>2</w:t>
      </w:r>
      <w:r>
        <w:t xml:space="preserve"> Al w przypadku stosowania jego ochrony przed uszkodzeniami mechanicznymi, </w:t>
      </w:r>
    </w:p>
    <w:p w:rsidR="00177955" w:rsidRDefault="00177955">
      <w:pPr>
        <w:numPr>
          <w:ilvl w:val="0"/>
          <w:numId w:val="12"/>
        </w:numPr>
      </w:pPr>
      <w:r>
        <w:t>4 mm</w:t>
      </w:r>
      <w:r>
        <w:rPr>
          <w:vertAlign w:val="superscript"/>
        </w:rPr>
        <w:t>2</w:t>
      </w:r>
      <w:r>
        <w:t xml:space="preserve"> Cu lub 16 mm</w:t>
      </w:r>
      <w:r>
        <w:rPr>
          <w:vertAlign w:val="superscript"/>
        </w:rPr>
        <w:t>2</w:t>
      </w:r>
      <w:r>
        <w:t xml:space="preserve"> Al w przypadku gdy ochrona przed uszkodzeniami mechanicznym  nie jest stosowana .</w:t>
      </w:r>
    </w:p>
    <w:p w:rsidR="00177955" w:rsidRDefault="00177955">
      <w:r>
        <w:t xml:space="preserve">Ochrona przed uszkodzeniami mechanicznymi uważana jest za skuteczną,  jeżeli przewód ochronny leży w rurze, kanale i listwie instalacyjnej lub jeżeli jest on chroniony w inny podobny sposób. </w:t>
      </w:r>
      <w:r>
        <w:br/>
      </w:r>
      <w:r>
        <w:br/>
        <w:t>Przewód ochronno-neutralny PEN może być używany w instalacjach elektrycznych ułożonych na stałe i, z wymagania przepisów i przyczyn mechanicznych, powinien mieć przekrój nie mniejszy niż 10 mm</w:t>
      </w:r>
      <w:r>
        <w:rPr>
          <w:vertAlign w:val="superscript"/>
        </w:rPr>
        <w:t>2</w:t>
      </w:r>
      <w:r>
        <w:t xml:space="preserve"> dla żył miedzianych i 16 mm</w:t>
      </w:r>
      <w:r>
        <w:rPr>
          <w:vertAlign w:val="superscript"/>
        </w:rPr>
        <w:t>2</w:t>
      </w:r>
      <w:r>
        <w:t xml:space="preserve"> dla żył aluminiowych.</w:t>
      </w:r>
      <w:r>
        <w:br/>
      </w:r>
      <w:r>
        <w:br/>
        <w:t>Przewód PEN powinien mieć izolację odpowiednią dla napięcia nominalnego układu.</w:t>
      </w:r>
      <w:r>
        <w:br/>
        <w:t>Metalowe obudowy oprzewodowania oraz części przewodzące obce nie mogą być stosowane jako przewody PEN, z wyjątkiem obudów przewodów szynowych.</w:t>
      </w:r>
    </w:p>
    <w:p w:rsidR="00177955" w:rsidRDefault="00177955">
      <w:r>
        <w:t xml:space="preserve">Jeżeli począwszy od jakiegokolwiek punktu instalacji elektrycznej, funkcje neutralne i ochronne są zapewnione przez oddzielne przewody, </w:t>
      </w:r>
      <w:r>
        <w:rPr>
          <w:b/>
          <w:bCs/>
        </w:rPr>
        <w:t>połączenie przewodu neutralnego</w:t>
      </w:r>
      <w:r>
        <w:t xml:space="preserve"> z jakąkolwiek częścią uziemioną w instalacji (np. z przewodem PEN) jest niedopuszczalne.</w:t>
      </w:r>
    </w:p>
    <w:p w:rsidR="00177955" w:rsidRDefault="00177955">
      <w:r>
        <w:t xml:space="preserve">Dopuszcza się utworzenie z przewodu PEN więcej niż jednego przewodu neutralnego i więcej niż jednego przewodu ochronnego. </w:t>
      </w:r>
      <w:r>
        <w:rPr>
          <w:b/>
          <w:bCs/>
        </w:rPr>
        <w:t>Oddzielne zaciski lub szyny</w:t>
      </w:r>
      <w:r>
        <w:t xml:space="preserve"> powinny być przeznaczone </w:t>
      </w:r>
      <w:r>
        <w:rPr>
          <w:b/>
          <w:bCs/>
        </w:rPr>
        <w:t>dla przewodów ochronnych i przewodów neutralnych</w:t>
      </w:r>
      <w:r>
        <w:t>. W tym przypadku przewód PEN powinien być przyłączony do zacisku lub szyny przeznaczonych dla przewodu ochronnego.</w:t>
      </w:r>
    </w:p>
    <w:p w:rsidR="00177955" w:rsidRDefault="00177955">
      <w:r>
        <w:t>Gdy stosowane są zabezpieczenia nadprądowe jako element ochrony przeciwporażeniowej, przewód ochronny powinien być częścią tego samego układu oprzewodowania jak przewody fazowe lub powinien być umieszczony w ich bezpośredniej bliskości.</w:t>
      </w:r>
    </w:p>
    <w:p w:rsidR="00177955" w:rsidRDefault="00177955">
      <w:r>
        <w:t>Przewody ochronne wzmocnione, dla przyłączonych na stałe odbiorników w których prąd w przewodzie ochronnym przekracza 10 mA, powinny być zaprojektowane w sposób następujący:</w:t>
      </w:r>
    </w:p>
    <w:p w:rsidR="00177955" w:rsidRDefault="00177955">
      <w:pPr>
        <w:numPr>
          <w:ilvl w:val="0"/>
          <w:numId w:val="13"/>
        </w:numPr>
      </w:pPr>
      <w:r>
        <w:t>przewód ochronny powinien mieć przekrój co najmniej 10 mm</w:t>
      </w:r>
      <w:r>
        <w:rPr>
          <w:vertAlign w:val="superscript"/>
        </w:rPr>
        <w:t>2</w:t>
      </w:r>
      <w:r>
        <w:t xml:space="preserve"> Cu lub 16 mm</w:t>
      </w:r>
      <w:r>
        <w:rPr>
          <w:vertAlign w:val="superscript"/>
        </w:rPr>
        <w:t>2</w:t>
      </w:r>
      <w:r>
        <w:t xml:space="preserve"> Al, na całej jego długości, lub </w:t>
      </w:r>
    </w:p>
    <w:p w:rsidR="00177955" w:rsidRDefault="00177955">
      <w:pPr>
        <w:numPr>
          <w:ilvl w:val="0"/>
          <w:numId w:val="13"/>
        </w:numPr>
      </w:pPr>
      <w:r>
        <w:t>drugi przewód ochronny, co najmniej o takim samym przekroju jak wymagany w ochronie przy uszkodzeniu, powinien być ułożony do punktu, w którym przewód ochronny ma przekrój nie mniejszy niż 10 mm</w:t>
      </w:r>
      <w:r>
        <w:rPr>
          <w:vertAlign w:val="superscript"/>
        </w:rPr>
        <w:t>2</w:t>
      </w:r>
      <w:r>
        <w:t xml:space="preserve"> Cu lub 16 mm</w:t>
      </w:r>
      <w:r>
        <w:rPr>
          <w:vertAlign w:val="superscript"/>
        </w:rPr>
        <w:t>2</w:t>
      </w:r>
      <w:r>
        <w:t xml:space="preserve"> Al. Wymaga to w urządzeniu oddzielnego zacisku dla drugiego przewodu ochronnego.</w:t>
      </w:r>
    </w:p>
    <w:p w:rsidR="00177955" w:rsidRDefault="00177955">
      <w:r>
        <w:t>Przekrój przewodów ochronnych wyrównawczych, które są przeznaczone do głównego  połączenia wyrównawczego ochronnego i które są połączone z głównym zaciskiem (szyną) uziemiającym, nie powinien być mniejszy niż:</w:t>
      </w:r>
    </w:p>
    <w:p w:rsidR="00177955" w:rsidRDefault="00177955">
      <w:pPr>
        <w:numPr>
          <w:ilvl w:val="0"/>
          <w:numId w:val="14"/>
        </w:numPr>
      </w:pPr>
      <w:r>
        <w:t>6 mm</w:t>
      </w:r>
      <w:r>
        <w:rPr>
          <w:vertAlign w:val="superscript"/>
        </w:rPr>
        <w:t>2</w:t>
      </w:r>
      <w:r>
        <w:t xml:space="preserve"> Cu, lub </w:t>
      </w:r>
    </w:p>
    <w:p w:rsidR="00177955" w:rsidRDefault="00177955">
      <w:pPr>
        <w:numPr>
          <w:ilvl w:val="0"/>
          <w:numId w:val="14"/>
        </w:numPr>
      </w:pPr>
      <w:r>
        <w:t>16 mm</w:t>
      </w:r>
      <w:r>
        <w:rPr>
          <w:vertAlign w:val="superscript"/>
        </w:rPr>
        <w:t>2</w:t>
      </w:r>
      <w:r>
        <w:t xml:space="preserve"> Al., lub </w:t>
      </w:r>
    </w:p>
    <w:p w:rsidR="00177955" w:rsidRDefault="00177955">
      <w:pPr>
        <w:numPr>
          <w:ilvl w:val="0"/>
          <w:numId w:val="14"/>
        </w:numPr>
      </w:pPr>
      <w:r>
        <w:t>50 mm</w:t>
      </w:r>
      <w:r>
        <w:rPr>
          <w:vertAlign w:val="superscript"/>
        </w:rPr>
        <w:t>2</w:t>
      </w:r>
      <w:r>
        <w:t xml:space="preserve"> Fe.</w:t>
      </w:r>
    </w:p>
    <w:p w:rsidR="00177955" w:rsidRDefault="00177955">
      <w:r>
        <w:t>Przekroje przewodów ochronnych wyrównawczych, które są przeznaczone do dodatkowego połączenia wyrównawczego ochronnego powinny spełniać następujące warunki:</w:t>
      </w:r>
    </w:p>
    <w:p w:rsidR="00177955" w:rsidRDefault="00177955">
      <w:pPr>
        <w:numPr>
          <w:ilvl w:val="0"/>
          <w:numId w:val="15"/>
        </w:numPr>
      </w:pPr>
      <w:r>
        <w:t xml:space="preserve">przewód ochronny wyrównawczy łączący dwie części przewodzące dostępne powinien mieć przewodność nie mniejszą niż przewód ochronny o mniejszym przekroju, przyłączony do części przewodzących dostępnych, </w:t>
      </w:r>
    </w:p>
    <w:p w:rsidR="00177955" w:rsidRDefault="00177955">
      <w:pPr>
        <w:numPr>
          <w:ilvl w:val="0"/>
          <w:numId w:val="15"/>
        </w:numPr>
      </w:pPr>
      <w:r>
        <w:t>przewód ochronny wyrównawczy łączący części przewodzące dostępne z częściami przewodzącymi obcymi, powinien mieć przewodność nie mniejszą niż połowa przekroju odpowiedniego przewodu ochronnego.</w:t>
      </w:r>
    </w:p>
    <w:p w:rsidR="00177955" w:rsidRDefault="00177955">
      <w:r>
        <w:t xml:space="preserve"> Jako przewody ochronne mogą być stosowane:</w:t>
      </w:r>
    </w:p>
    <w:p w:rsidR="00177955" w:rsidRDefault="00177955">
      <w:pPr>
        <w:numPr>
          <w:ilvl w:val="0"/>
          <w:numId w:val="16"/>
        </w:numPr>
      </w:pPr>
      <w:r>
        <w:t xml:space="preserve">żyły w przewodach wielożyłowych lub kablach, </w:t>
      </w:r>
    </w:p>
    <w:p w:rsidR="00177955" w:rsidRDefault="00177955">
      <w:pPr>
        <w:numPr>
          <w:ilvl w:val="0"/>
          <w:numId w:val="16"/>
        </w:numPr>
      </w:pPr>
      <w:r>
        <w:t xml:space="preserve">izolowane lub gołe przewody prowadzone we wspólnej osłonie z przewodami fazowymi, </w:t>
      </w:r>
    </w:p>
    <w:p w:rsidR="00177955" w:rsidRDefault="00177955">
      <w:pPr>
        <w:numPr>
          <w:ilvl w:val="0"/>
          <w:numId w:val="16"/>
        </w:numPr>
      </w:pPr>
      <w:r>
        <w:t xml:space="preserve">ułożone na stałe przewody gołe lub izolowane, </w:t>
      </w:r>
    </w:p>
    <w:p w:rsidR="00177955" w:rsidRDefault="00177955">
      <w:pPr>
        <w:numPr>
          <w:ilvl w:val="0"/>
          <w:numId w:val="16"/>
        </w:numPr>
      </w:pPr>
      <w:r>
        <w:t>metalowe powłoki, ekrany i pancerze kabli, metalowe osłony przewodów oraz metalowe rury i kanały instalacyjne pod warunkiem, że zapewniona jest ciągłość elektryczna tych elementów przez konstrukcję lub przez odpowiednie połączenie.</w:t>
      </w:r>
    </w:p>
    <w:p w:rsidR="00177955" w:rsidRDefault="00177955">
      <w:r>
        <w:t>Nie są dopuszczone do stosowania jako przewody ochronne lub jako przewody ochronne wyrównawcze następujące metalowe elementy:</w:t>
      </w:r>
    </w:p>
    <w:p w:rsidR="00177955" w:rsidRDefault="00177955">
      <w:pPr>
        <w:numPr>
          <w:ilvl w:val="0"/>
          <w:numId w:val="17"/>
        </w:numPr>
      </w:pPr>
      <w:r>
        <w:t xml:space="preserve">rury wodociągowe, </w:t>
      </w:r>
    </w:p>
    <w:p w:rsidR="00177955" w:rsidRDefault="00177955">
      <w:pPr>
        <w:numPr>
          <w:ilvl w:val="0"/>
          <w:numId w:val="17"/>
        </w:numPr>
      </w:pPr>
      <w:r>
        <w:t xml:space="preserve">rury zawierające łatwopalne gazy lub płyny, </w:t>
      </w:r>
    </w:p>
    <w:p w:rsidR="00177955" w:rsidRDefault="00177955">
      <w:pPr>
        <w:numPr>
          <w:ilvl w:val="0"/>
          <w:numId w:val="17"/>
        </w:numPr>
      </w:pPr>
      <w:r>
        <w:t xml:space="preserve">części konstrukcyjne narażone na naprężenia mechaniczne w czasie normalnej pracy, </w:t>
      </w:r>
    </w:p>
    <w:p w:rsidR="00177955" w:rsidRDefault="00177955">
      <w:pPr>
        <w:numPr>
          <w:ilvl w:val="0"/>
          <w:numId w:val="17"/>
        </w:numPr>
      </w:pPr>
      <w:r>
        <w:t xml:space="preserve">giętkie lub sprężyste metalowe kanały, chyba że są zaprojektowane do tych celów, </w:t>
      </w:r>
    </w:p>
    <w:p w:rsidR="00177955" w:rsidRDefault="00177955">
      <w:pPr>
        <w:numPr>
          <w:ilvl w:val="0"/>
          <w:numId w:val="17"/>
        </w:numPr>
      </w:pPr>
      <w:r>
        <w:t xml:space="preserve">giętkie części metalowe, </w:t>
      </w:r>
    </w:p>
    <w:p w:rsidR="00177955" w:rsidRDefault="00177955">
      <w:pPr>
        <w:numPr>
          <w:ilvl w:val="0"/>
          <w:numId w:val="17"/>
        </w:numPr>
      </w:pPr>
      <w:r>
        <w:t xml:space="preserve">elementy podtrzymujące oprzewodowania, </w:t>
      </w:r>
    </w:p>
    <w:p w:rsidR="00177955" w:rsidRDefault="00177955">
      <w:pPr>
        <w:numPr>
          <w:ilvl w:val="0"/>
          <w:numId w:val="17"/>
        </w:numPr>
      </w:pPr>
      <w:r>
        <w:t>korytka i drabinki instalacyjne.</w:t>
      </w:r>
    </w:p>
    <w:p w:rsidR="00177955" w:rsidRDefault="00177955">
      <w:r>
        <w:t>Rysunek nr 8.1. przedstawia przykładowy schemat połączeń ochronnych różnych urządzeń przy pomocy przewodów różnego przeznaczenia.</w:t>
      </w:r>
    </w:p>
    <w:p w:rsidR="00177955" w:rsidRDefault="00177955">
      <w:pPr>
        <w:spacing w:after="0"/>
        <w:jc w:val="center"/>
      </w:pPr>
      <w:r>
        <w:rPr>
          <w:noProof/>
          <w:sz w:val="20"/>
          <w:szCs w:val="20"/>
        </w:rPr>
        <w:pict>
          <v:shape id="_x0000_i1045" type="#_x0000_t75" alt="101" style="width:157.5pt;height:412.5pt;visibility:visible" fillcolor="window">
            <v:imagedata r:id="rId31" o:title=""/>
          </v:shape>
        </w:pict>
      </w:r>
    </w:p>
    <w:p w:rsidR="00177955" w:rsidRDefault="00177955">
      <w:pPr>
        <w:pStyle w:val="Caption"/>
        <w:jc w:val="center"/>
        <w:rPr>
          <w:sz w:val="24"/>
          <w:szCs w:val="24"/>
        </w:rPr>
      </w:pPr>
      <w:r>
        <w:rPr>
          <w:sz w:val="24"/>
          <w:szCs w:val="24"/>
        </w:rPr>
        <w:t>Rys. 8.1.</w:t>
      </w:r>
      <w:r>
        <w:rPr>
          <w:sz w:val="24"/>
          <w:szCs w:val="24"/>
        </w:rPr>
        <w:tab/>
        <w:t>Schemat połączeń ochronnych różnego przeznaczenia</w:t>
      </w:r>
    </w:p>
    <w:p w:rsidR="00177955" w:rsidRDefault="00177955">
      <w:pPr>
        <w:spacing w:after="0"/>
        <w:jc w:val="center"/>
      </w:pPr>
      <w:r>
        <w:t>Objaśnienia do oznaczeń przewodów</w:t>
      </w:r>
    </w:p>
    <w:p w:rsidR="00177955" w:rsidRDefault="00177955">
      <w:pPr>
        <w:spacing w:before="120"/>
        <w:jc w:val="both"/>
      </w:pPr>
      <w:r>
        <w:t>Oznaczenia: 1- przewód ochronny PE; 2 - przewód ochronno-neutralny PEN; 3 - przewód uziemiający E; 4 - przewód wyrównawczy główny CC; 5 - przewód wyrównawczy dodatkowy (miejscowy) CC, łączący z sobą dwie części przewodzące dostępne; 6 - przewód wyrównawczy dodatkowy (miejscowy) CC, łączący z sobą część przewodzącą dostępną oraz część przewodzącą obcą; 7 - przewód wyrównawczy nieuziemiony CC; 8 - główna szyna (zacisk) uziemiająca; 9 - uziom; Z - złącze; T - transformator separacyjny; O - odbiornik w obudowie przewodzącej I klasy ochronności; C - część przewodząca obca; W - rura metalowa wodociągowa główna; B - zbrojenie lub/i konstrukcje metalowe budynku</w:t>
      </w:r>
    </w:p>
    <w:p w:rsidR="00177955" w:rsidRDefault="00177955">
      <w:r>
        <w:t>Wymagane sposoby oznaczania przewodów ochronnych.</w:t>
      </w:r>
    </w:p>
    <w:p w:rsidR="00177955" w:rsidRDefault="00177955">
      <w:r>
        <w:t xml:space="preserve">Przewody ochronne, ochronno-neutralne, uziemienia ochronnego lub ochronno-funkcjonalnego oraz połączeń wyrównawczych powinny być oznaczone kombinacją kolorów zielonego i żółtego, przy zachowaniu następujących postanowień: </w:t>
      </w:r>
    </w:p>
    <w:p w:rsidR="00177955" w:rsidRDefault="00177955">
      <w:pPr>
        <w:numPr>
          <w:ilvl w:val="0"/>
          <w:numId w:val="18"/>
        </w:numPr>
      </w:pPr>
      <w:r>
        <w:t xml:space="preserve">kolor zielono-żółty może służyć tylko do oznaczenia i identyfikacji przewodów mających udział w ochronie przeciwporażeniowej, </w:t>
      </w:r>
    </w:p>
    <w:p w:rsidR="00177955" w:rsidRDefault="00177955">
      <w:pPr>
        <w:numPr>
          <w:ilvl w:val="0"/>
          <w:numId w:val="18"/>
        </w:numPr>
      </w:pPr>
      <w:r>
        <w:t xml:space="preserve">zaleca się, aby oznaczenie stosować na całej długości przewodu. Dopuszcza się stosowanie oznaczeń nie na całej długości z tym, że powinny one znajdować się we wszystkich dostępnych i widocznych miejscach, </w:t>
      </w:r>
    </w:p>
    <w:p w:rsidR="00177955" w:rsidRDefault="00177955">
      <w:pPr>
        <w:numPr>
          <w:ilvl w:val="0"/>
          <w:numId w:val="18"/>
        </w:numPr>
      </w:pPr>
      <w:r>
        <w:t>przewód ochronno-neutralny powinien być oznaczony kolorem zielono-żółtym, a na końcach kolorem niebieskim. Dopuszcza się, aby wyżej wymieniony przewód był oznaczony kolorem niebieskim, a na końcach kolorem zielono-żółtym.</w:t>
      </w:r>
    </w:p>
    <w:p w:rsidR="00177955" w:rsidRDefault="00177955">
      <w:pPr>
        <w:rPr>
          <w:b/>
          <w:bCs/>
        </w:rPr>
      </w:pPr>
      <w:r>
        <w:t>Przewód neutralny i środkowy powinien być oznaczony kolorem niebieskim w sposób taki, jak opisany dla przewodów ochronnych.</w:t>
      </w:r>
      <w:r>
        <w:br/>
        <w:t> </w:t>
      </w:r>
    </w:p>
    <w:sectPr w:rsidR="00177955" w:rsidSect="00177955">
      <w:headerReference w:type="default" r:id="rId32"/>
      <w:pgSz w:w="11906" w:h="16838"/>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955" w:rsidRDefault="00177955">
      <w:pPr>
        <w:spacing w:after="0"/>
      </w:pPr>
      <w:r>
        <w:separator/>
      </w:r>
    </w:p>
  </w:endnote>
  <w:endnote w:type="continuationSeparator" w:id="0">
    <w:p w:rsidR="00177955" w:rsidRDefault="0017795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955" w:rsidRDefault="00177955">
      <w:pPr>
        <w:spacing w:after="0"/>
      </w:pPr>
      <w:r>
        <w:separator/>
      </w:r>
    </w:p>
  </w:footnote>
  <w:footnote w:type="continuationSeparator" w:id="0">
    <w:p w:rsidR="00177955" w:rsidRDefault="0017795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955" w:rsidRDefault="00177955">
    <w:pPr>
      <w:pStyle w:val="Header"/>
      <w:jc w:val="center"/>
    </w:pPr>
    <w:fldSimple w:instr=" PAGE   \* MERGEFORMAT ">
      <w:r>
        <w:rPr>
          <w:noProof/>
        </w:rPr>
        <w:t>29</w:t>
      </w:r>
    </w:fldSimple>
  </w:p>
  <w:p w:rsidR="00177955" w:rsidRDefault="001779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1DA62E6"/>
    <w:lvl w:ilvl="0">
      <w:start w:val="1"/>
      <w:numFmt w:val="decimal"/>
      <w:pStyle w:val="Heading1"/>
      <w:lvlText w:val="%1."/>
      <w:lvlJc w:val="left"/>
      <w:pPr>
        <w:tabs>
          <w:tab w:val="num" w:pos="360"/>
        </w:tabs>
      </w:pPr>
      <w:rPr>
        <w:b/>
        <w:bCs/>
        <w:i w:val="0"/>
        <w:iCs w:val="0"/>
      </w:rPr>
    </w:lvl>
    <w:lvl w:ilvl="1">
      <w:start w:val="1"/>
      <w:numFmt w:val="decimal"/>
      <w:pStyle w:val="Heading2"/>
      <w:lvlText w:val="%1.%2."/>
      <w:lvlJc w:val="left"/>
      <w:pPr>
        <w:tabs>
          <w:tab w:val="num" w:pos="720"/>
        </w:tabs>
      </w:pPr>
      <w:rPr>
        <w:b/>
        <w:bCs/>
        <w:i w:val="0"/>
        <w:iCs w:val="0"/>
      </w:rPr>
    </w:lvl>
    <w:lvl w:ilvl="2">
      <w:start w:val="1"/>
      <w:numFmt w:val="decimal"/>
      <w:pStyle w:val="Heading3"/>
      <w:lvlText w:val="%1.%2.%3"/>
      <w:lvlJc w:val="left"/>
      <w:pPr>
        <w:tabs>
          <w:tab w:val="num" w:pos="0"/>
        </w:tabs>
      </w:pPr>
    </w:lvl>
    <w:lvl w:ilvl="3">
      <w:start w:val="1"/>
      <w:numFmt w:val="decimal"/>
      <w:pStyle w:val="Heading4"/>
      <w:lvlText w:val="%1.%2.%3.%4"/>
      <w:lvlJc w:val="left"/>
      <w:pPr>
        <w:tabs>
          <w:tab w:val="num" w:pos="0"/>
        </w:tabs>
      </w:pPr>
    </w:lvl>
    <w:lvl w:ilvl="4">
      <w:start w:val="1"/>
      <w:numFmt w:val="decimal"/>
      <w:pStyle w:val="Heading5"/>
      <w:lvlText w:val="%1.%2.%3.%4.%5"/>
      <w:lvlJc w:val="left"/>
      <w:pPr>
        <w:tabs>
          <w:tab w:val="num" w:pos="0"/>
        </w:tabs>
      </w:pPr>
    </w:lvl>
    <w:lvl w:ilvl="5">
      <w:start w:val="1"/>
      <w:numFmt w:val="decimal"/>
      <w:pStyle w:val="Heading6"/>
      <w:lvlText w:val="%1.%2.%3.%4.%5.%6"/>
      <w:lvlJc w:val="left"/>
      <w:pPr>
        <w:tabs>
          <w:tab w:val="num" w:pos="0"/>
        </w:tabs>
      </w:pPr>
    </w:lvl>
    <w:lvl w:ilvl="6">
      <w:start w:val="1"/>
      <w:numFmt w:val="decimal"/>
      <w:pStyle w:val="Heading7"/>
      <w:lvlText w:val="%1.%2.%3.%4.%5.%6.%7"/>
      <w:lvlJc w:val="left"/>
      <w:pPr>
        <w:tabs>
          <w:tab w:val="num" w:pos="0"/>
        </w:tabs>
      </w:pPr>
    </w:lvl>
    <w:lvl w:ilvl="7">
      <w:start w:val="1"/>
      <w:numFmt w:val="decimal"/>
      <w:pStyle w:val="Heading8"/>
      <w:lvlText w:val="%1.%2.%3.%4.%5.%6.%7.%8"/>
      <w:lvlJc w:val="left"/>
      <w:pPr>
        <w:tabs>
          <w:tab w:val="num" w:pos="0"/>
        </w:tabs>
      </w:pPr>
    </w:lvl>
    <w:lvl w:ilvl="8">
      <w:start w:val="1"/>
      <w:numFmt w:val="decimal"/>
      <w:pStyle w:val="Heading9"/>
      <w:lvlText w:val="%1.%2.%3.%4.%5.%6.%7.%8.%9"/>
      <w:lvlJc w:val="left"/>
      <w:pPr>
        <w:tabs>
          <w:tab w:val="num" w:pos="0"/>
        </w:tabs>
      </w:pPr>
    </w:lvl>
  </w:abstractNum>
  <w:abstractNum w:abstractNumId="1">
    <w:nsid w:val="016C42C7"/>
    <w:multiLevelType w:val="multilevel"/>
    <w:tmpl w:val="3E1ACB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3114A83"/>
    <w:multiLevelType w:val="multilevel"/>
    <w:tmpl w:val="D678328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0423E1"/>
    <w:multiLevelType w:val="multilevel"/>
    <w:tmpl w:val="3EE07A54"/>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nsid w:val="16B0037D"/>
    <w:multiLevelType w:val="multilevel"/>
    <w:tmpl w:val="13B67E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A003281"/>
    <w:multiLevelType w:val="multilevel"/>
    <w:tmpl w:val="7922A0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A0B458D"/>
    <w:multiLevelType w:val="multilevel"/>
    <w:tmpl w:val="029A45D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4D4241C"/>
    <w:multiLevelType w:val="multilevel"/>
    <w:tmpl w:val="0D84D65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25D34C3D"/>
    <w:multiLevelType w:val="multilevel"/>
    <w:tmpl w:val="18527A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08E03B0"/>
    <w:multiLevelType w:val="multilevel"/>
    <w:tmpl w:val="5DB67476"/>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0">
    <w:nsid w:val="3F9040D5"/>
    <w:multiLevelType w:val="multilevel"/>
    <w:tmpl w:val="C3D2FD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432B1748"/>
    <w:multiLevelType w:val="multilevel"/>
    <w:tmpl w:val="CDF830E2"/>
    <w:lvl w:ilvl="0">
      <w:start w:val="1"/>
      <w:numFmt w:val="bullet"/>
      <w:lvlText w:val=""/>
      <w:lvlJc w:val="left"/>
      <w:pPr>
        <w:tabs>
          <w:tab w:val="num" w:pos="1500"/>
        </w:tabs>
        <w:ind w:left="1500" w:hanging="360"/>
      </w:pPr>
      <w:rPr>
        <w:rFonts w:ascii="Symbol" w:hAnsi="Symbol" w:cs="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12">
    <w:nsid w:val="49BF5CEF"/>
    <w:multiLevelType w:val="multilevel"/>
    <w:tmpl w:val="085E813E"/>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3">
    <w:nsid w:val="4DDC3147"/>
    <w:multiLevelType w:val="multilevel"/>
    <w:tmpl w:val="ABE88F6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cs="Wingdings" w:hint="default"/>
      </w:rPr>
    </w:lvl>
    <w:lvl w:ilvl="2">
      <w:start w:val="44"/>
      <w:numFmt w:val="decimal"/>
      <w:lvlText w:val="%3."/>
      <w:lvlJc w:val="left"/>
      <w:pPr>
        <w:tabs>
          <w:tab w:val="num" w:pos="2340"/>
        </w:tabs>
        <w:ind w:left="2340" w:hanging="360"/>
      </w:pPr>
      <w:rPr>
        <w:rFonts w:hint="default"/>
      </w:rPr>
    </w:lvl>
    <w:lvl w:ilvl="3">
      <w:start w:val="5"/>
      <w:numFmt w:val="bullet"/>
      <w:lvlText w:val=""/>
      <w:lvlJc w:val="left"/>
      <w:pPr>
        <w:tabs>
          <w:tab w:val="num" w:pos="2880"/>
        </w:tabs>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50273EF"/>
    <w:multiLevelType w:val="multilevel"/>
    <w:tmpl w:val="F38E37E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5D2E6711"/>
    <w:multiLevelType w:val="multilevel"/>
    <w:tmpl w:val="302C8D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F4223AA"/>
    <w:multiLevelType w:val="multilevel"/>
    <w:tmpl w:val="0890F922"/>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636A2AD2"/>
    <w:multiLevelType w:val="multilevel"/>
    <w:tmpl w:val="2B023B2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6D7900F3"/>
    <w:multiLevelType w:val="multilevel"/>
    <w:tmpl w:val="57B4F1E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9">
    <w:nsid w:val="6FE31BC4"/>
    <w:multiLevelType w:val="multilevel"/>
    <w:tmpl w:val="37E472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716757F6"/>
    <w:multiLevelType w:val="multilevel"/>
    <w:tmpl w:val="A42E0DA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1">
    <w:nsid w:val="731E16A5"/>
    <w:multiLevelType w:val="multilevel"/>
    <w:tmpl w:val="E63043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73537E99"/>
    <w:multiLevelType w:val="multilevel"/>
    <w:tmpl w:val="082CE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797A0F36"/>
    <w:multiLevelType w:val="multilevel"/>
    <w:tmpl w:val="61DEDCF0"/>
    <w:lvl w:ilvl="0">
      <w:start w:val="1"/>
      <w:numFmt w:val="bullet"/>
      <w:lvlText w:val=""/>
      <w:lvlJc w:val="left"/>
      <w:pPr>
        <w:tabs>
          <w:tab w:val="num" w:pos="1620"/>
        </w:tabs>
        <w:ind w:left="1620" w:hanging="360"/>
      </w:pPr>
      <w:rPr>
        <w:rFonts w:ascii="Wingdings" w:hAnsi="Wingdings" w:cs="Wingding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num w:numId="1">
    <w:abstractNumId w:val="12"/>
  </w:num>
  <w:num w:numId="2">
    <w:abstractNumId w:val="16"/>
  </w:num>
  <w:num w:numId="3">
    <w:abstractNumId w:val="2"/>
  </w:num>
  <w:num w:numId="4">
    <w:abstractNumId w:val="11"/>
  </w:num>
  <w:num w:numId="5">
    <w:abstractNumId w:val="17"/>
  </w:num>
  <w:num w:numId="6">
    <w:abstractNumId w:val="13"/>
  </w:num>
  <w:num w:numId="7">
    <w:abstractNumId w:val="23"/>
  </w:num>
  <w:num w:numId="8">
    <w:abstractNumId w:val="0"/>
  </w:num>
  <w:num w:numId="9">
    <w:abstractNumId w:val="14"/>
  </w:num>
  <w:num w:numId="10">
    <w:abstractNumId w:val="6"/>
  </w:num>
  <w:num w:numId="11">
    <w:abstractNumId w:val="19"/>
  </w:num>
  <w:num w:numId="12">
    <w:abstractNumId w:val="8"/>
  </w:num>
  <w:num w:numId="13">
    <w:abstractNumId w:val="10"/>
  </w:num>
  <w:num w:numId="14">
    <w:abstractNumId w:val="5"/>
  </w:num>
  <w:num w:numId="15">
    <w:abstractNumId w:val="4"/>
  </w:num>
  <w:num w:numId="16">
    <w:abstractNumId w:val="1"/>
  </w:num>
  <w:num w:numId="17">
    <w:abstractNumId w:val="21"/>
  </w:num>
  <w:num w:numId="18">
    <w:abstractNumId w:val="22"/>
  </w:num>
  <w:num w:numId="19">
    <w:abstractNumId w:val="18"/>
  </w:num>
  <w:num w:numId="20">
    <w:abstractNumId w:val="7"/>
  </w:num>
  <w:num w:numId="21">
    <w:abstractNumId w:val="15"/>
  </w:num>
  <w:num w:numId="22">
    <w:abstractNumId w:val="9"/>
  </w:num>
  <w:num w:numId="23">
    <w:abstractNumId w:val="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7955"/>
    <w:rsid w:val="0017795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0"/>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120"/>
    </w:pPr>
    <w:rPr>
      <w:rFonts w:ascii="Arial" w:hAnsi="Arial" w:cs="Arial"/>
      <w:sz w:val="24"/>
      <w:szCs w:val="24"/>
    </w:rPr>
  </w:style>
  <w:style w:type="paragraph" w:styleId="Heading1">
    <w:name w:val="heading 1"/>
    <w:basedOn w:val="Normal"/>
    <w:next w:val="Normal"/>
    <w:link w:val="Heading1Char"/>
    <w:uiPriority w:val="99"/>
    <w:qFormat/>
    <w:pPr>
      <w:keepNext/>
      <w:numPr>
        <w:numId w:val="8"/>
      </w:numPr>
      <w:tabs>
        <w:tab w:val="clear" w:pos="360"/>
        <w:tab w:val="left" w:pos="567"/>
      </w:tabs>
      <w:spacing w:before="120"/>
      <w:ind w:left="567" w:hanging="567"/>
      <w:jc w:val="both"/>
      <w:outlineLvl w:val="0"/>
    </w:pPr>
    <w:rPr>
      <w:b/>
      <w:bCs/>
      <w:kern w:val="28"/>
    </w:rPr>
  </w:style>
  <w:style w:type="paragraph" w:styleId="Heading2">
    <w:name w:val="heading 2"/>
    <w:basedOn w:val="Normal"/>
    <w:next w:val="Normal"/>
    <w:link w:val="Heading2Char"/>
    <w:uiPriority w:val="99"/>
    <w:qFormat/>
    <w:pPr>
      <w:keepNext/>
      <w:numPr>
        <w:ilvl w:val="1"/>
        <w:numId w:val="8"/>
      </w:numPr>
      <w:tabs>
        <w:tab w:val="clear" w:pos="720"/>
        <w:tab w:val="num" w:pos="851"/>
      </w:tabs>
      <w:spacing w:before="60"/>
      <w:ind w:left="851" w:hanging="851"/>
      <w:jc w:val="both"/>
      <w:outlineLvl w:val="1"/>
    </w:pPr>
    <w:rPr>
      <w:b/>
      <w:bCs/>
      <w:sz w:val="22"/>
      <w:szCs w:val="22"/>
    </w:rPr>
  </w:style>
  <w:style w:type="paragraph" w:styleId="Heading3">
    <w:name w:val="heading 3"/>
    <w:basedOn w:val="Normal"/>
    <w:next w:val="Normal"/>
    <w:link w:val="Heading3Char"/>
    <w:uiPriority w:val="99"/>
    <w:qFormat/>
    <w:pPr>
      <w:keepNext/>
      <w:numPr>
        <w:ilvl w:val="2"/>
        <w:numId w:val="8"/>
      </w:numPr>
      <w:spacing w:before="240" w:after="60"/>
      <w:jc w:val="both"/>
      <w:outlineLvl w:val="2"/>
    </w:pPr>
    <w:rPr>
      <w:b/>
      <w:bCs/>
    </w:rPr>
  </w:style>
  <w:style w:type="paragraph" w:styleId="Heading4">
    <w:name w:val="heading 4"/>
    <w:basedOn w:val="Normal"/>
    <w:next w:val="Normal"/>
    <w:link w:val="Heading4Char"/>
    <w:uiPriority w:val="99"/>
    <w:qFormat/>
    <w:pPr>
      <w:keepNext/>
      <w:numPr>
        <w:ilvl w:val="3"/>
        <w:numId w:val="8"/>
      </w:numPr>
      <w:spacing w:before="240" w:after="60"/>
      <w:jc w:val="both"/>
      <w:outlineLvl w:val="3"/>
    </w:pPr>
    <w:rPr>
      <w:b/>
      <w:bCs/>
      <w:i/>
      <w:iCs/>
    </w:rPr>
  </w:style>
  <w:style w:type="paragraph" w:styleId="Heading5">
    <w:name w:val="heading 5"/>
    <w:basedOn w:val="Normal"/>
    <w:next w:val="Normal"/>
    <w:link w:val="Heading5Char"/>
    <w:uiPriority w:val="99"/>
    <w:qFormat/>
    <w:pPr>
      <w:numPr>
        <w:ilvl w:val="4"/>
        <w:numId w:val="8"/>
      </w:numPr>
      <w:spacing w:before="240" w:after="60"/>
      <w:jc w:val="both"/>
      <w:outlineLvl w:val="4"/>
    </w:pPr>
    <w:rPr>
      <w:sz w:val="22"/>
      <w:szCs w:val="22"/>
    </w:rPr>
  </w:style>
  <w:style w:type="paragraph" w:styleId="Heading6">
    <w:name w:val="heading 6"/>
    <w:basedOn w:val="Normal"/>
    <w:next w:val="Normal"/>
    <w:link w:val="Heading6Char"/>
    <w:uiPriority w:val="99"/>
    <w:qFormat/>
    <w:pPr>
      <w:numPr>
        <w:ilvl w:val="5"/>
        <w:numId w:val="8"/>
      </w:numPr>
      <w:spacing w:before="240" w:after="60"/>
      <w:jc w:val="both"/>
      <w:outlineLvl w:val="5"/>
    </w:pPr>
    <w:rPr>
      <w:i/>
      <w:iCs/>
      <w:sz w:val="22"/>
      <w:szCs w:val="22"/>
    </w:rPr>
  </w:style>
  <w:style w:type="paragraph" w:styleId="Heading7">
    <w:name w:val="heading 7"/>
    <w:basedOn w:val="Normal"/>
    <w:next w:val="Normal"/>
    <w:link w:val="Heading7Char"/>
    <w:uiPriority w:val="99"/>
    <w:qFormat/>
    <w:pPr>
      <w:numPr>
        <w:ilvl w:val="6"/>
        <w:numId w:val="8"/>
      </w:numPr>
      <w:spacing w:before="240" w:after="60"/>
      <w:jc w:val="both"/>
      <w:outlineLvl w:val="6"/>
    </w:pPr>
    <w:rPr>
      <w:sz w:val="22"/>
      <w:szCs w:val="22"/>
    </w:rPr>
  </w:style>
  <w:style w:type="paragraph" w:styleId="Heading8">
    <w:name w:val="heading 8"/>
    <w:basedOn w:val="Normal"/>
    <w:next w:val="Normal"/>
    <w:link w:val="Heading8Char"/>
    <w:uiPriority w:val="99"/>
    <w:qFormat/>
    <w:pPr>
      <w:numPr>
        <w:ilvl w:val="7"/>
        <w:numId w:val="8"/>
      </w:numPr>
      <w:spacing w:before="240" w:after="60"/>
      <w:jc w:val="both"/>
      <w:outlineLvl w:val="7"/>
    </w:pPr>
    <w:rPr>
      <w:i/>
      <w:iCs/>
      <w:sz w:val="22"/>
      <w:szCs w:val="22"/>
    </w:rPr>
  </w:style>
  <w:style w:type="paragraph" w:styleId="Heading9">
    <w:name w:val="heading 9"/>
    <w:basedOn w:val="Normal"/>
    <w:next w:val="Normal"/>
    <w:link w:val="Heading9Char"/>
    <w:uiPriority w:val="99"/>
    <w:qFormat/>
    <w:pPr>
      <w:numPr>
        <w:ilvl w:val="8"/>
        <w:numId w:val="8"/>
      </w:numPr>
      <w:spacing w:before="240" w:after="60"/>
      <w:jc w:val="both"/>
      <w:outlineLvl w:val="8"/>
    </w:pPr>
    <w:rPr>
      <w:i/>
      <w:iCs/>
      <w:sz w:val="18"/>
      <w:szCs w:val="1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hAnsi="Arial" w:cs="Arial"/>
      <w:b/>
      <w:bCs/>
      <w:kern w:val="28"/>
      <w:sz w:val="20"/>
      <w:szCs w:val="20"/>
      <w:lang/>
    </w:rPr>
  </w:style>
  <w:style w:type="character" w:customStyle="1" w:styleId="Heading2Char">
    <w:name w:val="Heading 2 Char"/>
    <w:basedOn w:val="DefaultParagraphFont"/>
    <w:link w:val="Heading2"/>
    <w:uiPriority w:val="99"/>
    <w:rPr>
      <w:rFonts w:ascii="Arial" w:hAnsi="Arial" w:cs="Arial"/>
      <w:b/>
      <w:bCs/>
      <w:sz w:val="20"/>
      <w:szCs w:val="20"/>
      <w:lang/>
    </w:rPr>
  </w:style>
  <w:style w:type="character" w:customStyle="1" w:styleId="Heading3Char">
    <w:name w:val="Heading 3 Char"/>
    <w:basedOn w:val="DefaultParagraphFont"/>
    <w:link w:val="Heading3"/>
    <w:uiPriority w:val="99"/>
    <w:rPr>
      <w:rFonts w:ascii="Arial" w:hAnsi="Arial" w:cs="Arial"/>
      <w:b/>
      <w:bCs/>
      <w:sz w:val="20"/>
      <w:szCs w:val="20"/>
      <w:lang/>
    </w:rPr>
  </w:style>
  <w:style w:type="character" w:customStyle="1" w:styleId="Heading4Char">
    <w:name w:val="Heading 4 Char"/>
    <w:basedOn w:val="DefaultParagraphFont"/>
    <w:link w:val="Heading4"/>
    <w:uiPriority w:val="99"/>
    <w:rPr>
      <w:rFonts w:ascii="Arial" w:hAnsi="Arial" w:cs="Arial"/>
      <w:b/>
      <w:bCs/>
      <w:i/>
      <w:iCs/>
      <w:sz w:val="20"/>
      <w:szCs w:val="20"/>
      <w:lang/>
    </w:rPr>
  </w:style>
  <w:style w:type="character" w:customStyle="1" w:styleId="Heading5Char">
    <w:name w:val="Heading 5 Char"/>
    <w:basedOn w:val="DefaultParagraphFont"/>
    <w:link w:val="Heading5"/>
    <w:uiPriority w:val="99"/>
    <w:rPr>
      <w:rFonts w:ascii="Arial" w:hAnsi="Arial" w:cs="Arial"/>
      <w:sz w:val="20"/>
      <w:szCs w:val="20"/>
      <w:lang/>
    </w:rPr>
  </w:style>
  <w:style w:type="character" w:customStyle="1" w:styleId="Heading6Char">
    <w:name w:val="Heading 6 Char"/>
    <w:basedOn w:val="DefaultParagraphFont"/>
    <w:link w:val="Heading6"/>
    <w:uiPriority w:val="99"/>
    <w:rPr>
      <w:rFonts w:ascii="Arial" w:hAnsi="Arial" w:cs="Arial"/>
      <w:i/>
      <w:iCs/>
      <w:sz w:val="20"/>
      <w:szCs w:val="20"/>
      <w:lang/>
    </w:rPr>
  </w:style>
  <w:style w:type="character" w:customStyle="1" w:styleId="Heading7Char">
    <w:name w:val="Heading 7 Char"/>
    <w:basedOn w:val="DefaultParagraphFont"/>
    <w:link w:val="Heading7"/>
    <w:uiPriority w:val="99"/>
    <w:rPr>
      <w:rFonts w:ascii="Arial" w:hAnsi="Arial" w:cs="Arial"/>
      <w:sz w:val="20"/>
      <w:szCs w:val="20"/>
      <w:lang/>
    </w:rPr>
  </w:style>
  <w:style w:type="character" w:customStyle="1" w:styleId="Heading8Char">
    <w:name w:val="Heading 8 Char"/>
    <w:basedOn w:val="DefaultParagraphFont"/>
    <w:link w:val="Heading8"/>
    <w:uiPriority w:val="99"/>
    <w:rPr>
      <w:rFonts w:ascii="Arial" w:hAnsi="Arial" w:cs="Arial"/>
      <w:i/>
      <w:iCs/>
      <w:sz w:val="20"/>
      <w:szCs w:val="20"/>
      <w:lang/>
    </w:rPr>
  </w:style>
  <w:style w:type="character" w:customStyle="1" w:styleId="Heading9Char">
    <w:name w:val="Heading 9 Char"/>
    <w:basedOn w:val="DefaultParagraphFont"/>
    <w:link w:val="Heading9"/>
    <w:uiPriority w:val="99"/>
    <w:rPr>
      <w:rFonts w:ascii="Arial" w:hAnsi="Arial" w:cs="Arial"/>
      <w:i/>
      <w:iCs/>
      <w:sz w:val="20"/>
      <w:szCs w:val="20"/>
      <w:lang/>
    </w:rPr>
  </w:style>
  <w:style w:type="paragraph" w:styleId="NormalIndent">
    <w:name w:val="Normal Indent"/>
    <w:basedOn w:val="Normal"/>
    <w:uiPriority w:val="99"/>
    <w:pPr>
      <w:ind w:firstLine="567"/>
      <w:jc w:val="both"/>
    </w:pPr>
    <w:rPr>
      <w:sz w:val="22"/>
      <w:szCs w:val="22"/>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rPr>
  </w:style>
  <w:style w:type="paragraph" w:styleId="Header">
    <w:name w:val="header"/>
    <w:basedOn w:val="Normal"/>
    <w:link w:val="HeaderChar"/>
    <w:uiPriority w:val="99"/>
    <w:pPr>
      <w:tabs>
        <w:tab w:val="center" w:pos="4536"/>
        <w:tab w:val="right" w:pos="9072"/>
      </w:tabs>
      <w:spacing w:after="0"/>
    </w:pPr>
  </w:style>
  <w:style w:type="character" w:customStyle="1" w:styleId="HeaderChar">
    <w:name w:val="Header Char"/>
    <w:basedOn w:val="DefaultParagraphFont"/>
    <w:link w:val="Header"/>
    <w:uiPriority w:val="99"/>
    <w:rPr>
      <w:rFonts w:ascii="Arial" w:hAnsi="Arial" w:cs="Arial"/>
      <w:sz w:val="24"/>
      <w:szCs w:val="24"/>
      <w:lang/>
    </w:rPr>
  </w:style>
  <w:style w:type="paragraph" w:styleId="Footer">
    <w:name w:val="footer"/>
    <w:basedOn w:val="Normal"/>
    <w:link w:val="FooterChar"/>
    <w:uiPriority w:val="99"/>
    <w:pPr>
      <w:tabs>
        <w:tab w:val="center" w:pos="4536"/>
        <w:tab w:val="right" w:pos="9072"/>
      </w:tabs>
      <w:spacing w:after="0"/>
    </w:pPr>
  </w:style>
  <w:style w:type="character" w:customStyle="1" w:styleId="FooterChar">
    <w:name w:val="Footer Char"/>
    <w:basedOn w:val="DefaultParagraphFont"/>
    <w:link w:val="Footer"/>
    <w:uiPriority w:val="99"/>
    <w:rPr>
      <w:rFonts w:ascii="Arial" w:hAnsi="Arial" w:cs="Arial"/>
      <w:sz w:val="24"/>
      <w:szCs w:val="24"/>
      <w:lang/>
    </w:rPr>
  </w:style>
  <w:style w:type="paragraph" w:customStyle="1" w:styleId="Default">
    <w:name w:val="Default"/>
    <w:uiPriority w:val="99"/>
    <w:pPr>
      <w:autoSpaceDE w:val="0"/>
      <w:autoSpaceDN w:val="0"/>
    </w:pPr>
    <w:rPr>
      <w:rFonts w:ascii="Arial" w:hAnsi="Arial" w:cs="Arial"/>
      <w:color w:val="000000"/>
      <w:sz w:val="24"/>
      <w:szCs w:val="24"/>
    </w:rPr>
  </w:style>
  <w:style w:type="paragraph" w:customStyle="1" w:styleId="tabelki">
    <w:name w:val="tabelki"/>
    <w:basedOn w:val="Normal"/>
    <w:next w:val="Normal"/>
    <w:uiPriority w:val="99"/>
    <w:pPr>
      <w:widowControl w:val="0"/>
      <w:spacing w:after="0"/>
      <w:jc w:val="center"/>
    </w:pPr>
    <w:rPr>
      <w:rFonts w:cstheme="minorBidi"/>
    </w:rPr>
  </w:style>
  <w:style w:type="paragraph" w:styleId="BodyText">
    <w:name w:val="Body Text"/>
    <w:basedOn w:val="Normal"/>
    <w:link w:val="BodyTextChar"/>
    <w:uiPriority w:val="99"/>
    <w:pPr>
      <w:widowControl w:val="0"/>
      <w:tabs>
        <w:tab w:val="left" w:pos="851"/>
      </w:tabs>
      <w:spacing w:before="80" w:after="40"/>
    </w:pPr>
    <w:rPr>
      <w:sz w:val="22"/>
      <w:szCs w:val="22"/>
    </w:rPr>
  </w:style>
  <w:style w:type="character" w:customStyle="1" w:styleId="BodyTextChar">
    <w:name w:val="Body Text Char"/>
    <w:basedOn w:val="DefaultParagraphFont"/>
    <w:link w:val="BodyText"/>
    <w:uiPriority w:val="99"/>
    <w:rPr>
      <w:rFonts w:ascii="Arial" w:hAnsi="Arial" w:cs="Arial"/>
    </w:rPr>
  </w:style>
  <w:style w:type="paragraph" w:customStyle="1" w:styleId="Stand126">
    <w:name w:val="Stand 12/6"/>
    <w:basedOn w:val="Normal"/>
    <w:uiPriority w:val="99"/>
    <w:pPr>
      <w:spacing w:before="240"/>
      <w:jc w:val="both"/>
    </w:pPr>
    <w:rPr>
      <w:sz w:val="22"/>
      <w:szCs w:val="22"/>
    </w:rPr>
  </w:style>
  <w:style w:type="paragraph" w:styleId="ListParagraph">
    <w:name w:val="List Paragraph"/>
    <w:basedOn w:val="Normal"/>
    <w:uiPriority w:val="99"/>
    <w:qFormat/>
    <w:pPr>
      <w:ind w:left="720"/>
    </w:pPr>
  </w:style>
  <w:style w:type="paragraph" w:customStyle="1" w:styleId="style1">
    <w:name w:val="style1"/>
    <w:basedOn w:val="Normal"/>
    <w:uiPriority w:val="99"/>
    <w:pPr>
      <w:spacing w:before="100" w:after="100"/>
    </w:pPr>
    <w:rPr>
      <w:rFonts w:cstheme="minorBidi"/>
    </w:rPr>
  </w:style>
  <w:style w:type="character" w:styleId="Emphasis">
    <w:name w:val="Emphasis"/>
    <w:basedOn w:val="DefaultParagraphFont"/>
    <w:uiPriority w:val="99"/>
    <w:qFormat/>
    <w:rPr>
      <w:rFonts w:cstheme="minorBidi"/>
      <w:i/>
      <w:iCs/>
    </w:rPr>
  </w:style>
  <w:style w:type="paragraph" w:styleId="Caption">
    <w:name w:val="caption"/>
    <w:basedOn w:val="Normal"/>
    <w:next w:val="Normal"/>
    <w:uiPriority w:val="99"/>
    <w:qFormat/>
    <w:pPr>
      <w:tabs>
        <w:tab w:val="left" w:pos="1134"/>
      </w:tabs>
      <w:spacing w:before="120"/>
      <w:ind w:left="1134" w:hanging="1134"/>
      <w:jc w:val="both"/>
    </w:pPr>
    <w:rPr>
      <w:sz w:val="22"/>
      <w:szCs w:val="22"/>
    </w:rPr>
  </w:style>
  <w:style w:type="character" w:styleId="Strong">
    <w:name w:val="Strong"/>
    <w:basedOn w:val="DefaultParagraphFont"/>
    <w:uiPriority w:val="99"/>
    <w:qFormat/>
    <w:rPr>
      <w:rFonts w:cstheme="minorBidi"/>
      <w:b/>
      <w:bCs/>
    </w:rPr>
  </w:style>
  <w:style w:type="paragraph" w:styleId="NormalWeb">
    <w:name w:val="Normal (Web)"/>
    <w:basedOn w:val="Normal"/>
    <w:uiPriority w:val="99"/>
    <w:pPr>
      <w:spacing w:before="100" w:after="100"/>
    </w:pPr>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oleObject" Target="embeddings/oleObject3.bin"/><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29</Pages>
  <Words>6326</Words>
  <Characters>-32766</Characters>
  <Application>Microsoft Office Outlook</Application>
  <DocSecurity>0</DocSecurity>
  <Lines>0</Lines>
  <Paragraphs>0</Paragraphs>
  <ScaleCrop>false</ScaleCrop>
  <Company>DELL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mgr inż</dc:title>
  <dc:subject/>
  <dc:creator>DELL OptiPlex760</dc:creator>
  <cp:keywords/>
  <dc:description/>
  <cp:lastModifiedBy>PREZES</cp:lastModifiedBy>
  <cp:revision>2</cp:revision>
  <cp:lastPrinted>2020-03-13T14:56:00Z</cp:lastPrinted>
  <dcterms:created xsi:type="dcterms:W3CDTF">2021-01-09T10:45:00Z</dcterms:created>
  <dcterms:modified xsi:type="dcterms:W3CDTF">2021-01-09T10:45:00Z</dcterms:modified>
</cp:coreProperties>
</file>